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217" w:val="left" w:leader="none"/>
        </w:tabs>
        <w:spacing w:line="240" w:lineRule="auto"/>
        <w:ind w:left="115" w:right="0" w:firstLine="0"/>
        <w:rPr>
          <w:rFonts w:ascii="Times New Roman"/>
          <w:sz w:val="20"/>
        </w:rPr>
      </w:pPr>
      <w:r>
        <w:rPr>
          <w:rFonts w:ascii="Times New Roman"/>
          <w:position w:val="93"/>
          <w:sz w:val="20"/>
        </w:rPr>
        <w:drawing>
          <wp:inline distT="0" distB="0" distL="0" distR="0">
            <wp:extent cx="1736300" cy="77819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36300" cy="778192"/>
                    </a:xfrm>
                    <a:prstGeom prst="rect">
                      <a:avLst/>
                    </a:prstGeom>
                  </pic:spPr>
                </pic:pic>
              </a:graphicData>
            </a:graphic>
          </wp:inline>
        </w:drawing>
      </w:r>
      <w:r>
        <w:rPr>
          <w:rFonts w:ascii="Times New Roman"/>
          <w:position w:val="93"/>
          <w:sz w:val="20"/>
        </w:rPr>
      </w:r>
      <w:r>
        <w:rPr>
          <w:rFonts w:ascii="Times New Roman"/>
          <w:position w:val="93"/>
          <w:sz w:val="20"/>
        </w:rPr>
        <w:tab/>
      </w:r>
      <w:r>
        <w:rPr>
          <w:rFonts w:ascii="Times New Roman"/>
          <w:sz w:val="20"/>
        </w:rPr>
        <w:drawing>
          <wp:inline distT="0" distB="0" distL="0" distR="0">
            <wp:extent cx="1257534" cy="148590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57534" cy="1485900"/>
                    </a:xfrm>
                    <a:prstGeom prst="rect">
                      <a:avLst/>
                    </a:prstGeom>
                  </pic:spPr>
                </pic:pic>
              </a:graphicData>
            </a:graphic>
          </wp:inline>
        </w:drawing>
      </w:r>
      <w:r>
        <w:rPr>
          <w:rFonts w:ascii="Times New Roman"/>
          <w:sz w:val="20"/>
        </w:rPr>
      </w:r>
    </w:p>
    <w:p>
      <w:pPr>
        <w:pStyle w:val="BodyText"/>
        <w:spacing w:before="10"/>
        <w:rPr>
          <w:rFonts w:ascii="Times New Roman"/>
          <w:sz w:val="14"/>
          <w:u w:val="none"/>
        </w:rPr>
      </w:pPr>
    </w:p>
    <w:p>
      <w:pPr>
        <w:pStyle w:val="Heading1"/>
        <w:spacing w:before="98"/>
        <w:ind w:left="2874"/>
      </w:pPr>
      <w:r>
        <w:rPr/>
        <w:t>GATEWAY LOS ANGELES</w:t>
      </w:r>
    </w:p>
    <w:p>
      <w:pPr>
        <w:spacing w:before="2"/>
        <w:ind w:left="2873" w:right="3038" w:firstLine="0"/>
        <w:jc w:val="center"/>
        <w:rPr>
          <w:b/>
          <w:sz w:val="40"/>
        </w:rPr>
      </w:pPr>
      <w:r>
        <w:rPr>
          <w:b/>
          <w:sz w:val="40"/>
        </w:rPr>
        <w:t>12424 Wilshire Boulevard</w:t>
      </w:r>
    </w:p>
    <w:p>
      <w:pPr>
        <w:spacing w:before="3"/>
        <w:ind w:left="2874" w:right="3037" w:firstLine="0"/>
        <w:jc w:val="center"/>
        <w:rPr>
          <w:b/>
          <w:sz w:val="28"/>
        </w:rPr>
      </w:pPr>
      <w:r>
        <w:rPr>
          <w:b/>
          <w:sz w:val="28"/>
        </w:rPr>
        <w:t>“…at your service…”</w:t>
      </w: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5"/>
        <w:rPr>
          <w:b/>
          <w:sz w:val="21"/>
          <w:u w:val="none"/>
        </w:rPr>
      </w:pPr>
    </w:p>
    <w:p>
      <w:pPr>
        <w:pStyle w:val="Heading2"/>
      </w:pPr>
      <w:r>
        <w:rPr/>
        <w:drawing>
          <wp:anchor distT="0" distB="0" distL="0" distR="0" allowOverlap="1" layoutInCell="1" locked="0" behindDoc="0" simplePos="0" relativeHeight="0">
            <wp:simplePos x="0" y="0"/>
            <wp:positionH relativeFrom="page">
              <wp:posOffset>3396996</wp:posOffset>
            </wp:positionH>
            <wp:positionV relativeFrom="paragraph">
              <wp:posOffset>-495912</wp:posOffset>
            </wp:positionV>
            <wp:extent cx="495698" cy="62977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95698" cy="629770"/>
                    </a:xfrm>
                    <a:prstGeom prst="rect">
                      <a:avLst/>
                    </a:prstGeom>
                  </pic:spPr>
                </pic:pic>
              </a:graphicData>
            </a:graphic>
          </wp:anchor>
        </w:drawing>
      </w:r>
      <w:r>
        <w:rPr>
          <w:u w:val="single"/>
        </w:rPr>
        <w:t>TENANT WORK ORDER SERVICES</w:t>
      </w:r>
    </w:p>
    <w:p>
      <w:pPr>
        <w:pStyle w:val="BodyText"/>
        <w:spacing w:before="3"/>
        <w:rPr>
          <w:b/>
          <w:sz w:val="15"/>
          <w:u w:val="none"/>
        </w:rPr>
      </w:pPr>
    </w:p>
    <w:p>
      <w:pPr>
        <w:pStyle w:val="BodyText"/>
        <w:spacing w:before="100"/>
        <w:ind w:left="477" w:right="100"/>
        <w:jc w:val="both"/>
        <w:rPr>
          <w:u w:val="none"/>
        </w:rPr>
      </w:pPr>
      <w:r>
        <w:rPr>
          <w:color w:val="0000FF"/>
          <w:u w:val="single" w:color="0000FF"/>
        </w:rPr>
        <w:t>Netfacilities.com</w:t>
      </w:r>
      <w:r>
        <w:rPr>
          <w:color w:val="0000FF"/>
          <w:u w:val="none"/>
        </w:rPr>
        <w:t> </w:t>
      </w:r>
      <w:r>
        <w:rPr>
          <w:u w:val="none"/>
        </w:rPr>
        <w:t>is a web-based system that is designed to manage and streamline the work request process. Tenants will be able to enter detailed work requests through the site and receive a confirmation number to track the progress of their requests. The tenant work request system is password protected. Contact the management office at (310) 826-2587 and ask for Sajara Garland for assistance with your sign-up.</w:t>
      </w:r>
    </w:p>
    <w:p>
      <w:pPr>
        <w:pStyle w:val="BodyText"/>
        <w:rPr>
          <w:sz w:val="26"/>
          <w:u w:val="none"/>
        </w:rPr>
      </w:pPr>
    </w:p>
    <w:p>
      <w:pPr>
        <w:pStyle w:val="BodyText"/>
        <w:rPr>
          <w:sz w:val="26"/>
          <w:u w:val="none"/>
        </w:rPr>
      </w:pPr>
    </w:p>
    <w:p>
      <w:pPr>
        <w:pStyle w:val="Heading2"/>
        <w:spacing w:before="226"/>
      </w:pPr>
      <w:r>
        <w:rPr>
          <w:u w:val="single"/>
        </w:rPr>
        <w:t>ELECTRONIC TENANT HANDBOOK (ETH)</w:t>
      </w:r>
    </w:p>
    <w:p>
      <w:pPr>
        <w:pStyle w:val="BodyText"/>
        <w:spacing w:before="9"/>
        <w:rPr>
          <w:b/>
          <w:sz w:val="23"/>
          <w:u w:val="none"/>
        </w:rPr>
      </w:pPr>
    </w:p>
    <w:p>
      <w:pPr>
        <w:pStyle w:val="BodyText"/>
        <w:ind w:left="477" w:right="100"/>
        <w:jc w:val="both"/>
        <w:rPr>
          <w:u w:val="none"/>
        </w:rPr>
      </w:pPr>
      <w:r>
        <w:rPr>
          <w:u w:val="none"/>
        </w:rPr>
        <w:t>The handbook serves as a convenient resource to answer frequently asked questions about your property’s operations, upcoming calendar events, rules and regulations, forms that are frequently utilized and also links  to the Douglas Emmett website, and the web-based work order system, Netfacilities. You can visit the website at</w:t>
      </w:r>
      <w:r>
        <w:rPr>
          <w:spacing w:val="-2"/>
          <w:u w:val="none"/>
        </w:rPr>
        <w:t> </w:t>
      </w:r>
      <w:hyperlink r:id="rId8">
        <w:r>
          <w:rPr>
            <w:color w:val="0000FF"/>
            <w:u w:val="single" w:color="0000FF"/>
          </w:rPr>
          <w:t>www.12424wilshireblvd.info</w:t>
        </w:r>
      </w:hyperlink>
    </w:p>
    <w:p>
      <w:pPr>
        <w:pStyle w:val="BodyText"/>
        <w:rPr>
          <w:sz w:val="20"/>
          <w:u w:val="none"/>
        </w:rPr>
      </w:pPr>
    </w:p>
    <w:p>
      <w:pPr>
        <w:pStyle w:val="BodyText"/>
        <w:rPr>
          <w:sz w:val="20"/>
          <w:u w:val="none"/>
        </w:rPr>
      </w:pPr>
    </w:p>
    <w:p>
      <w:pPr>
        <w:pStyle w:val="BodyText"/>
        <w:rPr>
          <w:sz w:val="20"/>
          <w:u w:val="none"/>
        </w:rPr>
      </w:pPr>
    </w:p>
    <w:p>
      <w:pPr>
        <w:pStyle w:val="BodyText"/>
        <w:spacing w:before="1"/>
        <w:rPr>
          <w:sz w:val="27"/>
          <w:u w:val="none"/>
        </w:rPr>
      </w:pPr>
    </w:p>
    <w:p>
      <w:pPr>
        <w:pStyle w:val="BodyText"/>
        <w:spacing w:before="101"/>
        <w:ind w:left="1143" w:right="3038"/>
        <w:jc w:val="center"/>
        <w:rPr>
          <w:u w:val="none"/>
        </w:rPr>
      </w:pPr>
      <w:r>
        <w:rPr>
          <w:u w:val="none"/>
        </w:rPr>
        <w:t>* * *</w:t>
      </w:r>
    </w:p>
    <w:sectPr>
      <w:type w:val="continuous"/>
      <w:pgSz w:w="12240" w:h="15840"/>
      <w:pgMar w:top="720" w:bottom="280" w:left="7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u w:val="single" w:color="000000"/>
    </w:rPr>
  </w:style>
  <w:style w:styleId="Heading1" w:type="paragraph">
    <w:name w:val="Heading 1"/>
    <w:basedOn w:val="Normal"/>
    <w:uiPriority w:val="1"/>
    <w:qFormat/>
    <w:pPr>
      <w:spacing w:before="2"/>
      <w:ind w:left="2873" w:right="3038"/>
      <w:jc w:val="center"/>
      <w:outlineLvl w:val="1"/>
    </w:pPr>
    <w:rPr>
      <w:rFonts w:ascii="Garamond" w:hAnsi="Garamond" w:eastAsia="Garamond" w:cs="Garamond"/>
      <w:b/>
      <w:bCs/>
      <w:sz w:val="40"/>
      <w:szCs w:val="40"/>
    </w:rPr>
  </w:style>
  <w:style w:styleId="Heading2" w:type="paragraph">
    <w:name w:val="Heading 2"/>
    <w:basedOn w:val="Normal"/>
    <w:uiPriority w:val="1"/>
    <w:qFormat/>
    <w:pPr>
      <w:spacing w:before="1"/>
      <w:ind w:left="477"/>
      <w:outlineLvl w:val="2"/>
    </w:pPr>
    <w:rPr>
      <w:rFonts w:ascii="Garamond" w:hAnsi="Garamond" w:eastAsia="Garamond" w:cs="Garamond"/>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12424wilshireblv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2018-06-22T16:39:14Z</dcterms:created>
  <dcterms:modified xsi:type="dcterms:W3CDTF">2018-06-22T16:39:14Z</dcterms:modified>
</cp:coreProperties>
</file>