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7"/>
        <w:rPr>
          <w:rFonts w:ascii="Times New Roman"/>
          <w:sz w:val="20"/>
        </w:rPr>
      </w:pPr>
      <w:r>
        <w:rPr>
          <w:rFonts w:ascii="Times New Roman"/>
          <w:sz w:val="20"/>
        </w:rPr>
        <w:pict>
          <v:group style="width:474.35pt;height:58.95pt;mso-position-horizontal-relative:char;mso-position-vertical-relative:line" coordorigin="0,0" coordsize="9487,1179">
            <v:shape style="position:absolute;left:3939;top:34;width:1604;height:1111" type="#_x0000_t75" stroked="false">
              <v:imagedata r:id="rId6" o:title=""/>
            </v:shape>
            <v:line style="position:absolute" from="14,7" to="9472,7" stroked="true" strokeweight=".72pt" strokecolor="#000000">
              <v:stroke dashstyle="solid"/>
            </v:line>
            <v:line style="position:absolute" from="14,1172" to="9472,1172" stroked="true" strokeweight=".72pt" strokecolor="#000000">
              <v:stroke dashstyle="solid"/>
            </v:line>
            <v:line style="position:absolute" from="7,0" to="7,1179" stroked="true" strokeweight=".72pt" strokecolor="#000000">
              <v:stroke dashstyle="solid"/>
            </v:line>
            <v:line style="position:absolute" from="9479,0" to="9479,1179" stroked="true" strokeweight=".71997pt" strokecolor="#000000">
              <v:stroke dashstyle="solid"/>
            </v:line>
          </v:group>
        </w:pict>
      </w:r>
      <w:r>
        <w:rPr>
          <w:rFonts w:ascii="Times New Roman"/>
          <w:sz w:val="20"/>
        </w:rPr>
      </w:r>
    </w:p>
    <w:p>
      <w:pPr>
        <w:pStyle w:val="BodyText"/>
        <w:spacing w:before="10"/>
        <w:rPr>
          <w:rFonts w:ascii="Times New Roman"/>
          <w:sz w:val="16"/>
        </w:rPr>
      </w:pPr>
      <w:r>
        <w:rPr/>
        <w:pict>
          <v:shape style="position:absolute;margin-left:69.264pt;margin-top:12.07pt;width:473.6pt;height:19.2pt;mso-position-horizontal-relative:page;mso-position-vertical-relative:paragraph;z-index:1048;mso-wrap-distance-left:0;mso-wrap-distance-right:0" type="#_x0000_t202" filled="true" fillcolor="#e4e4e4" stroked="true" strokeweight=".71997pt" strokecolor="#000000">
            <v:textbox inset="0,0,0,0">
              <w:txbxContent>
                <w:p>
                  <w:pPr>
                    <w:spacing w:before="25"/>
                    <w:ind w:left="2918" w:right="0" w:firstLine="0"/>
                    <w:jc w:val="left"/>
                    <w:rPr>
                      <w:b/>
                      <w:sz w:val="28"/>
                    </w:rPr>
                  </w:pPr>
                  <w:r>
                    <w:rPr>
                      <w:b/>
                      <w:sz w:val="28"/>
                    </w:rPr>
                    <w:t>Parking Access Agreement</w:t>
                  </w:r>
                </w:p>
              </w:txbxContent>
            </v:textbox>
            <v:fill type="solid"/>
            <v:stroke dashstyle="solid"/>
            <w10:wrap type="topAndBottom"/>
          </v:shape>
        </w:pict>
      </w:r>
    </w:p>
    <w:p>
      <w:pPr>
        <w:pStyle w:val="BodyText"/>
        <w:spacing w:before="7"/>
        <w:rPr>
          <w:rFonts w:ascii="Times New Roman"/>
          <w:sz w:val="6"/>
        </w:rPr>
      </w:pPr>
    </w:p>
    <w:p>
      <w:pPr>
        <w:pStyle w:val="BodyText"/>
        <w:spacing w:line="237" w:lineRule="auto" w:before="96"/>
        <w:ind w:left="180" w:right="565"/>
      </w:pPr>
      <w:r>
        <w:rPr/>
        <w:t>This Agreement licenses you to park and lock one vehicle in a parking stall in a designated area in the parking facility located at: 12424 Wilshire Blvd Los Angeles, CA 90025</w:t>
      </w:r>
    </w:p>
    <w:p>
      <w:pPr>
        <w:pStyle w:val="BodyText"/>
        <w:spacing w:before="7"/>
        <w:rPr>
          <w:sz w:val="17"/>
        </w:rPr>
      </w:pPr>
    </w:p>
    <w:p>
      <w:pPr>
        <w:pStyle w:val="BodyText"/>
        <w:spacing w:line="237" w:lineRule="auto"/>
        <w:ind w:left="180" w:right="216"/>
        <w:jc w:val="both"/>
      </w:pPr>
      <w:r>
        <w:rPr/>
        <w:t>You agree to park during the hours that the garage is open for business, at your sole risk upon payment of the monthly parking rate plus a late charge if applicable. Only a license to park is granted hereby and no bailment is created. ABM Parking Services (“ABM”) does not provide guards, or assume liability for criminal acts. ABM is not liable for fire, theft, damage or other loss to the vehicle or its contents, loss of use or any loss due to or attributable t o bodily injury or death.</w:t>
      </w:r>
    </w:p>
    <w:p>
      <w:pPr>
        <w:pStyle w:val="BodyText"/>
        <w:spacing w:before="2"/>
        <w:rPr>
          <w:sz w:val="16"/>
        </w:rPr>
      </w:pPr>
    </w:p>
    <w:p>
      <w:pPr>
        <w:pStyle w:val="Heading1"/>
        <w:jc w:val="both"/>
        <w:rPr>
          <w:b w:val="0"/>
        </w:rPr>
      </w:pPr>
      <w:r>
        <w:rPr>
          <w:u w:val="single"/>
        </w:rPr>
        <w:t>Monthly Parking Access</w:t>
      </w:r>
      <w:r>
        <w:rPr>
          <w:b w:val="0"/>
        </w:rPr>
        <w:t>:</w:t>
      </w:r>
    </w:p>
    <w:p>
      <w:pPr>
        <w:pStyle w:val="BodyText"/>
        <w:spacing w:before="8"/>
        <w:rPr>
          <w:sz w:val="9"/>
        </w:rPr>
      </w:pPr>
    </w:p>
    <w:p>
      <w:pPr>
        <w:pStyle w:val="ListParagraph"/>
        <w:numPr>
          <w:ilvl w:val="0"/>
          <w:numId w:val="1"/>
        </w:numPr>
        <w:tabs>
          <w:tab w:pos="900" w:val="left" w:leader="none"/>
          <w:tab w:pos="901" w:val="left" w:leader="none"/>
        </w:tabs>
        <w:spacing w:line="205" w:lineRule="exact" w:before="95" w:after="0"/>
        <w:ind w:left="900" w:right="0" w:hanging="360"/>
        <w:jc w:val="left"/>
        <w:rPr>
          <w:sz w:val="18"/>
        </w:rPr>
      </w:pPr>
      <w:r>
        <w:rPr>
          <w:sz w:val="18"/>
        </w:rPr>
        <w:t>All agreements are on a month to month basis, unless stated otherwise in your lease</w:t>
      </w:r>
      <w:r>
        <w:rPr>
          <w:spacing w:val="7"/>
          <w:sz w:val="18"/>
        </w:rPr>
        <w:t> </w:t>
      </w:r>
      <w:r>
        <w:rPr>
          <w:sz w:val="18"/>
        </w:rPr>
        <w:t>agreement.</w:t>
      </w:r>
    </w:p>
    <w:p>
      <w:pPr>
        <w:pStyle w:val="ListParagraph"/>
        <w:numPr>
          <w:ilvl w:val="0"/>
          <w:numId w:val="1"/>
        </w:numPr>
        <w:tabs>
          <w:tab w:pos="900" w:val="left" w:leader="none"/>
          <w:tab w:pos="901" w:val="left" w:leader="none"/>
        </w:tabs>
        <w:spacing w:line="204" w:lineRule="exact" w:before="0" w:after="0"/>
        <w:ind w:left="900" w:right="0" w:hanging="360"/>
        <w:jc w:val="left"/>
        <w:rPr>
          <w:sz w:val="18"/>
        </w:rPr>
      </w:pPr>
      <w:r>
        <w:rPr>
          <w:sz w:val="18"/>
        </w:rPr>
        <w:t>Please contact the parking office immediately when changing vehicles (i.e. new car) or deleting a key</w:t>
      </w:r>
      <w:r>
        <w:rPr>
          <w:spacing w:val="0"/>
          <w:sz w:val="18"/>
        </w:rPr>
        <w:t> </w:t>
      </w:r>
      <w:r>
        <w:rPr>
          <w:sz w:val="18"/>
        </w:rPr>
        <w:t>card.</w:t>
      </w:r>
    </w:p>
    <w:p>
      <w:pPr>
        <w:pStyle w:val="ListParagraph"/>
        <w:numPr>
          <w:ilvl w:val="0"/>
          <w:numId w:val="1"/>
        </w:numPr>
        <w:tabs>
          <w:tab w:pos="901" w:val="left" w:leader="none"/>
        </w:tabs>
        <w:spacing w:line="237" w:lineRule="auto" w:before="0" w:after="0"/>
        <w:ind w:left="900" w:right="219" w:hanging="360"/>
        <w:jc w:val="both"/>
        <w:rPr>
          <w:sz w:val="18"/>
        </w:rPr>
      </w:pPr>
      <w:r>
        <w:rPr>
          <w:sz w:val="18"/>
        </w:rPr>
        <w:t>ABM Parking Services and Management are not responsible for contents of vehicles parked in the facility. Please do not leave key card or other valuables, such as phones, laptops, etc. in vehicle. Lock all possessions.</w:t>
      </w:r>
    </w:p>
    <w:p>
      <w:pPr>
        <w:pStyle w:val="ListParagraph"/>
        <w:numPr>
          <w:ilvl w:val="0"/>
          <w:numId w:val="1"/>
        </w:numPr>
        <w:tabs>
          <w:tab w:pos="900" w:val="left" w:leader="none"/>
          <w:tab w:pos="901" w:val="left" w:leader="none"/>
        </w:tabs>
        <w:spacing w:line="203" w:lineRule="exact" w:before="0" w:after="0"/>
        <w:ind w:left="900" w:right="0" w:hanging="360"/>
        <w:jc w:val="left"/>
        <w:rPr>
          <w:sz w:val="18"/>
        </w:rPr>
      </w:pPr>
      <w:r>
        <w:rPr>
          <w:sz w:val="18"/>
        </w:rPr>
        <w:t>All damage must be reported in writing to the parking office before leaving the facility.</w:t>
      </w:r>
    </w:p>
    <w:p>
      <w:pPr>
        <w:pStyle w:val="BodyText"/>
        <w:rPr>
          <w:sz w:val="17"/>
        </w:rPr>
      </w:pPr>
    </w:p>
    <w:p>
      <w:pPr>
        <w:pStyle w:val="Heading1"/>
        <w:spacing w:before="1"/>
        <w:rPr>
          <w:b w:val="0"/>
        </w:rPr>
      </w:pPr>
      <w:r>
        <w:rPr>
          <w:u w:val="single"/>
        </w:rPr>
        <w:t>Monthly Parking Payment</w:t>
      </w:r>
      <w:r>
        <w:rPr>
          <w:b w:val="0"/>
        </w:rPr>
        <w:t>:</w:t>
      </w:r>
    </w:p>
    <w:p>
      <w:pPr>
        <w:pStyle w:val="BodyText"/>
        <w:spacing w:before="8"/>
        <w:rPr>
          <w:sz w:val="9"/>
        </w:rPr>
      </w:pPr>
    </w:p>
    <w:p>
      <w:pPr>
        <w:pStyle w:val="ListParagraph"/>
        <w:numPr>
          <w:ilvl w:val="0"/>
          <w:numId w:val="2"/>
        </w:numPr>
        <w:tabs>
          <w:tab w:pos="901" w:val="left" w:leader="none"/>
        </w:tabs>
        <w:spacing w:line="244" w:lineRule="auto" w:before="94" w:after="0"/>
        <w:ind w:left="900" w:right="217" w:hanging="360"/>
        <w:jc w:val="both"/>
        <w:rPr>
          <w:sz w:val="18"/>
        </w:rPr>
      </w:pPr>
      <w:r>
        <w:rPr>
          <w:sz w:val="18"/>
        </w:rPr>
        <w:t>Monthly rate for rental of parking space is payable one (1) month in advance and must be paid NOT later than the first day of each month. Payments are accepted between the 25th and 1st of the month</w:t>
      </w:r>
      <w:r>
        <w:rPr>
          <w:b/>
          <w:sz w:val="18"/>
        </w:rPr>
        <w:t>. After the 5th, unpaid cards will be subject to immediate deactivation, this agreement will automatically be canceled, daily parking rates will apply and a late fee will be applied for company accounts according to the terms of the lease. </w:t>
      </w:r>
      <w:r>
        <w:rPr>
          <w:sz w:val="18"/>
        </w:rPr>
        <w:t>NO deductions or allowances from the monthly rate will be made for days customer does not use parking facility.  NO REFUNDS WILL BE MADE FOR UNUSED PORTIONS  OF A MONTH. Cards purchased after the fifteenth of the month will be prorated for half of the month. Proration is only available to new tenant</w:t>
      </w:r>
      <w:r>
        <w:rPr>
          <w:spacing w:val="-4"/>
          <w:sz w:val="18"/>
        </w:rPr>
        <w:t> </w:t>
      </w:r>
      <w:r>
        <w:rPr>
          <w:sz w:val="18"/>
        </w:rPr>
        <w:t>parkers.</w:t>
      </w:r>
    </w:p>
    <w:p>
      <w:pPr>
        <w:pStyle w:val="ListParagraph"/>
        <w:numPr>
          <w:ilvl w:val="0"/>
          <w:numId w:val="2"/>
        </w:numPr>
        <w:tabs>
          <w:tab w:pos="900" w:val="left" w:leader="none"/>
          <w:tab w:pos="901" w:val="left" w:leader="none"/>
        </w:tabs>
        <w:spacing w:line="237" w:lineRule="auto" w:before="0" w:after="0"/>
        <w:ind w:left="900" w:right="222" w:hanging="360"/>
        <w:jc w:val="left"/>
        <w:rPr>
          <w:sz w:val="18"/>
        </w:rPr>
      </w:pPr>
      <w:r>
        <w:rPr>
          <w:sz w:val="18"/>
        </w:rPr>
        <w:t>For accounting purposes, the monthly rental period runs from the first of one month to the first of the next month. Please make checks payable to: ABM Parking Services.</w:t>
      </w:r>
    </w:p>
    <w:p>
      <w:pPr>
        <w:pStyle w:val="ListParagraph"/>
        <w:numPr>
          <w:ilvl w:val="0"/>
          <w:numId w:val="2"/>
        </w:numPr>
        <w:tabs>
          <w:tab w:pos="900" w:val="left" w:leader="none"/>
          <w:tab w:pos="901" w:val="left" w:leader="none"/>
        </w:tabs>
        <w:spacing w:line="202" w:lineRule="exact" w:before="0" w:after="0"/>
        <w:ind w:left="900" w:right="0" w:hanging="360"/>
        <w:jc w:val="left"/>
        <w:rPr>
          <w:sz w:val="18"/>
        </w:rPr>
      </w:pPr>
      <w:r>
        <w:rPr>
          <w:sz w:val="18"/>
        </w:rPr>
        <w:t>All payments are at prevailing rates unless otherwise stated in your lease</w:t>
      </w:r>
      <w:r>
        <w:rPr>
          <w:spacing w:val="5"/>
          <w:sz w:val="18"/>
        </w:rPr>
        <w:t> </w:t>
      </w:r>
      <w:r>
        <w:rPr>
          <w:sz w:val="18"/>
        </w:rPr>
        <w:t>agreement.</w:t>
      </w:r>
    </w:p>
    <w:p>
      <w:pPr>
        <w:pStyle w:val="ListParagraph"/>
        <w:numPr>
          <w:ilvl w:val="0"/>
          <w:numId w:val="2"/>
        </w:numPr>
        <w:tabs>
          <w:tab w:pos="900" w:val="left" w:leader="none"/>
          <w:tab w:pos="901" w:val="left" w:leader="none"/>
        </w:tabs>
        <w:spacing w:line="204" w:lineRule="exact" w:before="0" w:after="0"/>
        <w:ind w:left="900" w:right="0" w:hanging="360"/>
        <w:jc w:val="left"/>
        <w:rPr>
          <w:sz w:val="18"/>
        </w:rPr>
      </w:pPr>
      <w:r>
        <w:rPr>
          <w:sz w:val="18"/>
        </w:rPr>
        <w:t>Established monthly rates are subject to change with a 30 day</w:t>
      </w:r>
      <w:r>
        <w:rPr>
          <w:spacing w:val="5"/>
          <w:sz w:val="18"/>
        </w:rPr>
        <w:t> </w:t>
      </w:r>
      <w:r>
        <w:rPr>
          <w:sz w:val="18"/>
        </w:rPr>
        <w:t>notice.</w:t>
      </w:r>
    </w:p>
    <w:p>
      <w:pPr>
        <w:pStyle w:val="ListParagraph"/>
        <w:numPr>
          <w:ilvl w:val="0"/>
          <w:numId w:val="2"/>
        </w:numPr>
        <w:tabs>
          <w:tab w:pos="900" w:val="left" w:leader="none"/>
          <w:tab w:pos="901" w:val="left" w:leader="none"/>
        </w:tabs>
        <w:spacing w:line="237" w:lineRule="auto" w:before="0" w:after="0"/>
        <w:ind w:left="900" w:right="216" w:hanging="360"/>
        <w:jc w:val="left"/>
        <w:rPr>
          <w:sz w:val="18"/>
        </w:rPr>
      </w:pPr>
      <w:r>
        <w:rPr>
          <w:sz w:val="18"/>
        </w:rPr>
        <w:t>Monthly parking cancellations need to be submitted in writing to the parking office before the first of the new month.</w:t>
      </w:r>
    </w:p>
    <w:p>
      <w:pPr>
        <w:pStyle w:val="ListParagraph"/>
        <w:numPr>
          <w:ilvl w:val="0"/>
          <w:numId w:val="2"/>
        </w:numPr>
        <w:tabs>
          <w:tab w:pos="900" w:val="left" w:leader="none"/>
          <w:tab w:pos="901" w:val="left" w:leader="none"/>
        </w:tabs>
        <w:spacing w:line="203" w:lineRule="exact" w:before="0" w:after="0"/>
        <w:ind w:left="900" w:right="0" w:hanging="360"/>
        <w:jc w:val="left"/>
        <w:rPr>
          <w:sz w:val="18"/>
        </w:rPr>
      </w:pPr>
      <w:r>
        <w:rPr>
          <w:sz w:val="18"/>
        </w:rPr>
        <w:t>Returned checks for NSF or stop payments will be assessed a $25.00</w:t>
      </w:r>
      <w:r>
        <w:rPr>
          <w:spacing w:val="10"/>
          <w:sz w:val="18"/>
        </w:rPr>
        <w:t> </w:t>
      </w:r>
      <w:r>
        <w:rPr>
          <w:sz w:val="18"/>
        </w:rPr>
        <w:t>fee.</w:t>
      </w:r>
    </w:p>
    <w:p>
      <w:pPr>
        <w:pStyle w:val="BodyText"/>
        <w:spacing w:before="10"/>
        <w:rPr>
          <w:sz w:val="15"/>
        </w:rPr>
      </w:pPr>
    </w:p>
    <w:p>
      <w:pPr>
        <w:pStyle w:val="Heading1"/>
        <w:rPr>
          <w:b w:val="0"/>
        </w:rPr>
      </w:pPr>
      <w:r>
        <w:rPr>
          <w:u w:val="single"/>
        </w:rPr>
        <w:t>Activation Fee</w:t>
      </w:r>
      <w:r>
        <w:rPr>
          <w:b w:val="0"/>
        </w:rPr>
        <w:t>:</w:t>
      </w:r>
    </w:p>
    <w:p>
      <w:pPr>
        <w:pStyle w:val="BodyText"/>
        <w:spacing w:before="8"/>
        <w:rPr>
          <w:sz w:val="9"/>
        </w:rPr>
      </w:pPr>
    </w:p>
    <w:p>
      <w:pPr>
        <w:pStyle w:val="BodyText"/>
        <w:spacing w:line="237" w:lineRule="auto" w:before="96"/>
        <w:ind w:left="900" w:right="218" w:hanging="360"/>
        <w:jc w:val="both"/>
      </w:pPr>
      <w:r>
        <w:rPr/>
        <w:t>1. A $35.00 non-refundable activation fee will be required for all new Keycards / AVI Tags and for the replacement of lost or damaged cards or AVI Tags. ABM Parking Services reserves the right to collect all non-valid key cards.</w:t>
      </w:r>
    </w:p>
    <w:p>
      <w:pPr>
        <w:pStyle w:val="BodyText"/>
      </w:pPr>
    </w:p>
    <w:p>
      <w:pPr>
        <w:pStyle w:val="Heading1"/>
      </w:pPr>
      <w:r>
        <w:rPr>
          <w:u w:val="single"/>
        </w:rPr>
        <w:t>Keycards / Hang Tags/Automated Vehicle Identification (AVI) tags</w:t>
      </w:r>
    </w:p>
    <w:p>
      <w:pPr>
        <w:pStyle w:val="BodyText"/>
        <w:rPr>
          <w:b/>
          <w:sz w:val="17"/>
        </w:rPr>
      </w:pPr>
    </w:p>
    <w:p>
      <w:pPr>
        <w:pStyle w:val="ListParagraph"/>
        <w:numPr>
          <w:ilvl w:val="0"/>
          <w:numId w:val="3"/>
        </w:numPr>
        <w:tabs>
          <w:tab w:pos="901" w:val="left" w:leader="none"/>
        </w:tabs>
        <w:spacing w:line="237" w:lineRule="auto" w:before="0" w:after="0"/>
        <w:ind w:left="900" w:right="219" w:hanging="360"/>
        <w:jc w:val="both"/>
        <w:rPr>
          <w:sz w:val="18"/>
        </w:rPr>
      </w:pPr>
      <w:r>
        <w:rPr>
          <w:sz w:val="18"/>
        </w:rPr>
        <w:t>Monthly parkers should not take tickets from the ticket dispenser. If you have taken a  ticket to gain  entrance due to a key card malfunctioning or misplacement, please contact the parking office  for assistance. No signatures will be accepted as parking validation or</w:t>
      </w:r>
      <w:r>
        <w:rPr>
          <w:spacing w:val="7"/>
          <w:sz w:val="18"/>
        </w:rPr>
        <w:t> </w:t>
      </w:r>
      <w:r>
        <w:rPr>
          <w:sz w:val="18"/>
        </w:rPr>
        <w:t>payment.</w:t>
      </w:r>
    </w:p>
    <w:p>
      <w:pPr>
        <w:pStyle w:val="BodyText"/>
        <w:spacing w:before="6"/>
        <w:rPr>
          <w:sz w:val="17"/>
        </w:rPr>
      </w:pPr>
    </w:p>
    <w:p>
      <w:pPr>
        <w:pStyle w:val="ListParagraph"/>
        <w:numPr>
          <w:ilvl w:val="0"/>
          <w:numId w:val="3"/>
        </w:numPr>
        <w:tabs>
          <w:tab w:pos="901" w:val="left" w:leader="none"/>
        </w:tabs>
        <w:spacing w:line="237" w:lineRule="auto" w:before="0" w:after="0"/>
        <w:ind w:left="900" w:right="216" w:hanging="360"/>
        <w:jc w:val="both"/>
        <w:rPr>
          <w:sz w:val="18"/>
        </w:rPr>
      </w:pPr>
      <w:r>
        <w:rPr>
          <w:sz w:val="18"/>
          <w:u w:val="single"/>
        </w:rPr>
        <w:t>Keycards / Hang Tags/AVI Tags are not transferable</w:t>
      </w:r>
      <w:r>
        <w:rPr>
          <w:sz w:val="18"/>
        </w:rPr>
        <w:t>. Each monthly parker is issued a Keycard or AVI Tag that activates the parking equipment or a Hang Tag is issued if there’s no equipment. The Keycard or AVI Tag must be used to enter and exit the parking garage at all times. This Keycard / AVI Tag / Hang Tag is numbered, recorded and assigned to a specific parker only and can not to be transferred or reassigned without the parking office’s consent. Under no circumstances should a monthly parker render exchange or assist any other parkers or visitors to gain entrance or exit with their Keycard, AVI Tag or Hang Tag.  Monthly parking privileges will be forfeited and the Keycard, AVI Tag or Hang Tag will be voided immediately. Any monthly parker violating this provision will be required to pay the other person’s parking fees. ABM Parking Services reserves the right to collect all non-valid Keycards / AVI Tags / Hang</w:t>
      </w:r>
      <w:r>
        <w:rPr>
          <w:spacing w:val="5"/>
          <w:sz w:val="18"/>
        </w:rPr>
        <w:t> </w:t>
      </w:r>
      <w:r>
        <w:rPr>
          <w:sz w:val="18"/>
        </w:rPr>
        <w:t>Tags.</w:t>
      </w:r>
    </w:p>
    <w:p>
      <w:pPr>
        <w:spacing w:after="0" w:line="237" w:lineRule="auto"/>
        <w:jc w:val="both"/>
        <w:rPr>
          <w:sz w:val="18"/>
        </w:rPr>
        <w:sectPr>
          <w:footerReference w:type="default" r:id="rId5"/>
          <w:type w:val="continuous"/>
          <w:pgSz w:w="12240" w:h="15840"/>
          <w:pgMar w:footer="675" w:top="720" w:bottom="860" w:left="1260" w:right="1220"/>
        </w:sectPr>
      </w:pPr>
    </w:p>
    <w:p>
      <w:pPr>
        <w:pStyle w:val="Heading1"/>
        <w:spacing w:before="75"/>
        <w:rPr>
          <w:b w:val="0"/>
        </w:rPr>
      </w:pPr>
      <w:r>
        <w:rPr>
          <w:u w:val="single"/>
        </w:rPr>
        <w:t>General Garage Rules</w:t>
      </w:r>
      <w:r>
        <w:rPr>
          <w:b w:val="0"/>
        </w:rPr>
        <w:t>:</w:t>
      </w:r>
    </w:p>
    <w:p>
      <w:pPr>
        <w:pStyle w:val="BodyText"/>
        <w:spacing w:before="8"/>
        <w:rPr>
          <w:sz w:val="9"/>
        </w:rPr>
      </w:pPr>
    </w:p>
    <w:p>
      <w:pPr>
        <w:pStyle w:val="ListParagraph"/>
        <w:numPr>
          <w:ilvl w:val="0"/>
          <w:numId w:val="4"/>
        </w:numPr>
        <w:tabs>
          <w:tab w:pos="900" w:val="left" w:leader="none"/>
          <w:tab w:pos="901" w:val="left" w:leader="none"/>
        </w:tabs>
        <w:spacing w:line="205" w:lineRule="exact" w:before="95" w:after="0"/>
        <w:ind w:left="900" w:right="0" w:hanging="360"/>
        <w:jc w:val="left"/>
        <w:rPr>
          <w:sz w:val="18"/>
        </w:rPr>
      </w:pPr>
      <w:r>
        <w:rPr>
          <w:sz w:val="18"/>
        </w:rPr>
        <w:t>Maximum speed limit of 5</w:t>
      </w:r>
      <w:r>
        <w:rPr>
          <w:spacing w:val="3"/>
          <w:sz w:val="18"/>
        </w:rPr>
        <w:t> </w:t>
      </w:r>
      <w:r>
        <w:rPr>
          <w:sz w:val="18"/>
        </w:rPr>
        <w:t>MPH.</w:t>
      </w:r>
    </w:p>
    <w:p>
      <w:pPr>
        <w:pStyle w:val="ListParagraph"/>
        <w:numPr>
          <w:ilvl w:val="0"/>
          <w:numId w:val="4"/>
        </w:numPr>
        <w:tabs>
          <w:tab w:pos="900" w:val="left" w:leader="none"/>
          <w:tab w:pos="901" w:val="left" w:leader="none"/>
        </w:tabs>
        <w:spacing w:line="204" w:lineRule="exact" w:before="0" w:after="0"/>
        <w:ind w:left="900" w:right="0" w:hanging="360"/>
        <w:jc w:val="left"/>
        <w:rPr>
          <w:sz w:val="18"/>
        </w:rPr>
      </w:pPr>
      <w:r>
        <w:rPr>
          <w:sz w:val="18"/>
        </w:rPr>
        <w:t>Compact stalls are for compact cars</w:t>
      </w:r>
      <w:r>
        <w:rPr>
          <w:spacing w:val="1"/>
          <w:sz w:val="18"/>
        </w:rPr>
        <w:t> </w:t>
      </w:r>
      <w:r>
        <w:rPr>
          <w:sz w:val="18"/>
        </w:rPr>
        <w:t>only.</w:t>
      </w:r>
    </w:p>
    <w:p>
      <w:pPr>
        <w:pStyle w:val="ListParagraph"/>
        <w:numPr>
          <w:ilvl w:val="0"/>
          <w:numId w:val="4"/>
        </w:numPr>
        <w:tabs>
          <w:tab w:pos="900" w:val="left" w:leader="none"/>
          <w:tab w:pos="901" w:val="left" w:leader="none"/>
        </w:tabs>
        <w:spacing w:line="204" w:lineRule="exact" w:before="0" w:after="0"/>
        <w:ind w:left="900" w:right="0" w:hanging="360"/>
        <w:jc w:val="left"/>
        <w:rPr>
          <w:sz w:val="18"/>
        </w:rPr>
      </w:pPr>
      <w:r>
        <w:rPr>
          <w:sz w:val="18"/>
        </w:rPr>
        <w:t>Park within marked stalls, “Head In”</w:t>
      </w:r>
      <w:r>
        <w:rPr>
          <w:spacing w:val="3"/>
          <w:sz w:val="18"/>
        </w:rPr>
        <w:t> </w:t>
      </w:r>
      <w:r>
        <w:rPr>
          <w:sz w:val="18"/>
        </w:rPr>
        <w:t>only</w:t>
      </w:r>
    </w:p>
    <w:p>
      <w:pPr>
        <w:pStyle w:val="ListParagraph"/>
        <w:numPr>
          <w:ilvl w:val="0"/>
          <w:numId w:val="4"/>
        </w:numPr>
        <w:tabs>
          <w:tab w:pos="900" w:val="left" w:leader="none"/>
          <w:tab w:pos="901" w:val="left" w:leader="none"/>
        </w:tabs>
        <w:spacing w:line="204" w:lineRule="exact" w:before="0" w:after="0"/>
        <w:ind w:left="900" w:right="0" w:hanging="360"/>
        <w:jc w:val="left"/>
        <w:rPr>
          <w:sz w:val="18"/>
        </w:rPr>
      </w:pPr>
      <w:r>
        <w:rPr>
          <w:sz w:val="18"/>
        </w:rPr>
        <w:t>Observe all stop signs.</w:t>
      </w:r>
    </w:p>
    <w:p>
      <w:pPr>
        <w:pStyle w:val="ListParagraph"/>
        <w:numPr>
          <w:ilvl w:val="0"/>
          <w:numId w:val="4"/>
        </w:numPr>
        <w:tabs>
          <w:tab w:pos="900" w:val="left" w:leader="none"/>
          <w:tab w:pos="901" w:val="left" w:leader="none"/>
        </w:tabs>
        <w:spacing w:line="204" w:lineRule="exact" w:before="0" w:after="0"/>
        <w:ind w:left="900" w:right="0" w:hanging="360"/>
        <w:jc w:val="left"/>
        <w:rPr>
          <w:sz w:val="18"/>
        </w:rPr>
      </w:pPr>
      <w:r>
        <w:rPr>
          <w:sz w:val="18"/>
        </w:rPr>
        <w:t>Violation of any garage rule may result in suspension or cancellation of parking</w:t>
      </w:r>
      <w:r>
        <w:rPr>
          <w:spacing w:val="5"/>
          <w:sz w:val="18"/>
        </w:rPr>
        <w:t> </w:t>
      </w:r>
      <w:r>
        <w:rPr>
          <w:sz w:val="18"/>
        </w:rPr>
        <w:t>privileges.</w:t>
      </w:r>
    </w:p>
    <w:p>
      <w:pPr>
        <w:pStyle w:val="ListParagraph"/>
        <w:numPr>
          <w:ilvl w:val="0"/>
          <w:numId w:val="4"/>
        </w:numPr>
        <w:tabs>
          <w:tab w:pos="900" w:val="left" w:leader="none"/>
          <w:tab w:pos="901" w:val="left" w:leader="none"/>
        </w:tabs>
        <w:spacing w:line="237" w:lineRule="auto" w:before="0" w:after="0"/>
        <w:ind w:left="900" w:right="635" w:hanging="360"/>
        <w:jc w:val="left"/>
        <w:rPr>
          <w:sz w:val="18"/>
        </w:rPr>
      </w:pPr>
      <w:r>
        <w:rPr>
          <w:sz w:val="18"/>
        </w:rPr>
        <w:t>Visitor parking is designated and reserved for use by visitors only. Tenant daily parking is prohibited in visitor areas. Violators are subject to posted daily</w:t>
      </w:r>
      <w:r>
        <w:rPr>
          <w:spacing w:val="3"/>
          <w:sz w:val="18"/>
        </w:rPr>
        <w:t> </w:t>
      </w:r>
      <w:r>
        <w:rPr>
          <w:sz w:val="18"/>
        </w:rPr>
        <w:t>rates.</w:t>
      </w:r>
    </w:p>
    <w:p>
      <w:pPr>
        <w:pStyle w:val="ListParagraph"/>
        <w:numPr>
          <w:ilvl w:val="0"/>
          <w:numId w:val="4"/>
        </w:numPr>
        <w:tabs>
          <w:tab w:pos="900" w:val="left" w:leader="none"/>
          <w:tab w:pos="901" w:val="left" w:leader="none"/>
        </w:tabs>
        <w:spacing w:line="237" w:lineRule="auto" w:before="0" w:after="0"/>
        <w:ind w:left="900" w:right="1084" w:hanging="360"/>
        <w:jc w:val="left"/>
        <w:rPr>
          <w:sz w:val="18"/>
        </w:rPr>
      </w:pPr>
      <w:r>
        <w:rPr>
          <w:sz w:val="18"/>
        </w:rPr>
        <w:t>Handicapped stall: Usage is strictly monitored. Parking Enforcement routinely inspects for permit compliance and vehicles without proper permit may be towed at the owner’s</w:t>
      </w:r>
      <w:r>
        <w:rPr>
          <w:spacing w:val="7"/>
          <w:sz w:val="18"/>
        </w:rPr>
        <w:t> </w:t>
      </w:r>
      <w:r>
        <w:rPr>
          <w:sz w:val="18"/>
        </w:rPr>
        <w:t>expense.</w:t>
      </w:r>
    </w:p>
    <w:p>
      <w:pPr>
        <w:pStyle w:val="ListParagraph"/>
        <w:numPr>
          <w:ilvl w:val="0"/>
          <w:numId w:val="4"/>
        </w:numPr>
        <w:tabs>
          <w:tab w:pos="900" w:val="left" w:leader="none"/>
          <w:tab w:pos="901" w:val="left" w:leader="none"/>
        </w:tabs>
        <w:spacing w:line="237" w:lineRule="auto" w:before="0" w:after="0"/>
        <w:ind w:left="900" w:right="324" w:hanging="360"/>
        <w:jc w:val="left"/>
        <w:rPr>
          <w:sz w:val="18"/>
        </w:rPr>
      </w:pPr>
      <w:r>
        <w:rPr>
          <w:sz w:val="18"/>
        </w:rPr>
        <w:t>Each monthly parker is responsible for cleanup of excessive oil spills from individual vehicles. Customer is responsible for the cost of any repairs for damages incurred in the garage due to</w:t>
      </w:r>
      <w:r>
        <w:rPr>
          <w:spacing w:val="7"/>
          <w:sz w:val="18"/>
        </w:rPr>
        <w:t> </w:t>
      </w:r>
      <w:r>
        <w:rPr>
          <w:sz w:val="18"/>
        </w:rPr>
        <w:t>negligence.</w:t>
      </w:r>
    </w:p>
    <w:p>
      <w:pPr>
        <w:pStyle w:val="BodyText"/>
        <w:rPr>
          <w:sz w:val="16"/>
        </w:rPr>
      </w:pPr>
    </w:p>
    <w:p>
      <w:pPr>
        <w:pStyle w:val="Heading1"/>
        <w:spacing w:before="1"/>
        <w:rPr>
          <w:b w:val="0"/>
        </w:rPr>
      </w:pPr>
      <w:r>
        <w:rPr>
          <w:u w:val="single"/>
        </w:rPr>
        <w:t>Vehicle Storage and Overnight Parking</w:t>
      </w:r>
      <w:r>
        <w:rPr>
          <w:b w:val="0"/>
        </w:rPr>
        <w:t>:</w:t>
      </w:r>
    </w:p>
    <w:p>
      <w:pPr>
        <w:pStyle w:val="BodyText"/>
        <w:spacing w:before="8"/>
        <w:rPr>
          <w:sz w:val="9"/>
        </w:rPr>
      </w:pPr>
    </w:p>
    <w:p>
      <w:pPr>
        <w:pStyle w:val="BodyText"/>
        <w:spacing w:line="237" w:lineRule="auto" w:before="96"/>
        <w:ind w:left="180" w:right="216"/>
        <w:jc w:val="both"/>
      </w:pPr>
      <w:r>
        <w:rPr/>
        <w:t>No overnight parking or storage of vehicles is allowed. If vehicle is to be left over 24 hours, please notify the Parking office in writing. All unauthorized vehicles will be impounded at owner’s expense. ABM Parking Services and/or Management do not assume responsibility for vehicles left after hours.</w:t>
      </w:r>
    </w:p>
    <w:p>
      <w:pPr>
        <w:pStyle w:val="BodyText"/>
        <w:spacing w:before="4"/>
        <w:rPr>
          <w:sz w:val="16"/>
        </w:rPr>
      </w:pPr>
    </w:p>
    <w:p>
      <w:pPr>
        <w:pStyle w:val="Heading1"/>
        <w:jc w:val="both"/>
        <w:rPr>
          <w:b w:val="0"/>
        </w:rPr>
      </w:pPr>
      <w:r>
        <w:rPr>
          <w:u w:val="single"/>
        </w:rPr>
        <w:t>Outside Services</w:t>
      </w:r>
      <w:r>
        <w:rPr>
          <w:b w:val="0"/>
        </w:rPr>
        <w:t>:</w:t>
      </w:r>
    </w:p>
    <w:p>
      <w:pPr>
        <w:pStyle w:val="BodyText"/>
        <w:spacing w:before="8"/>
        <w:rPr>
          <w:sz w:val="9"/>
        </w:rPr>
      </w:pPr>
    </w:p>
    <w:p>
      <w:pPr>
        <w:pStyle w:val="BodyText"/>
        <w:spacing w:line="237" w:lineRule="auto" w:before="96"/>
        <w:ind w:left="180" w:right="565"/>
      </w:pPr>
      <w:r>
        <w:rPr/>
        <w:t>No unauthorized outside services such as mechanical repairs, tune-ups, oil changes, window tinting, installation of phone, stereo and car alarm, washing, detailing, etc. will be allowed on the premises.</w:t>
      </w:r>
    </w:p>
    <w:p>
      <w:pPr>
        <w:pStyle w:val="BodyText"/>
        <w:spacing w:before="4"/>
        <w:rPr>
          <w:sz w:val="16"/>
        </w:rPr>
      </w:pPr>
    </w:p>
    <w:p>
      <w:pPr>
        <w:pStyle w:val="Heading1"/>
        <w:spacing w:line="249" w:lineRule="auto"/>
        <w:ind w:right="208"/>
        <w:jc w:val="both"/>
      </w:pPr>
      <w:r>
        <w:rPr/>
        <w:t>By accepting (with or without </w:t>
      </w:r>
      <w:r>
        <w:rPr>
          <w:spacing w:val="-3"/>
        </w:rPr>
        <w:t>your </w:t>
      </w:r>
      <w:r>
        <w:rPr/>
        <w:t>signature) a parking Keycard, AVI Tag or Hang Tag, </w:t>
      </w:r>
      <w:r>
        <w:rPr>
          <w:spacing w:val="-3"/>
        </w:rPr>
        <w:t>you </w:t>
      </w:r>
      <w:r>
        <w:rPr/>
        <w:t>agree to the  terms of this agreement. Failure to comply with the aforementioned rules and regulations may result in a  loss of parking privileges. This is </w:t>
      </w:r>
      <w:r>
        <w:rPr>
          <w:spacing w:val="-3"/>
        </w:rPr>
        <w:t>your </w:t>
      </w:r>
      <w:r>
        <w:rPr/>
        <w:t>entire agreement and no ABM Parking Services  employee may  modify or waive any of its</w:t>
      </w:r>
      <w:r>
        <w:rPr>
          <w:spacing w:val="-18"/>
        </w:rPr>
        <w:t> </w:t>
      </w:r>
      <w:r>
        <w:rPr/>
        <w:t>terms.</w:t>
      </w:r>
    </w:p>
    <w:p>
      <w:pPr>
        <w:pStyle w:val="BodyText"/>
        <w:rPr>
          <w:b/>
          <w:sz w:val="16"/>
        </w:rPr>
      </w:pPr>
    </w:p>
    <w:tbl>
      <w:tblPr>
        <w:tblW w:w="0" w:type="auto"/>
        <w:jc w:val="left"/>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8"/>
        <w:gridCol w:w="1695"/>
        <w:gridCol w:w="2617"/>
        <w:gridCol w:w="1534"/>
      </w:tblGrid>
      <w:tr>
        <w:trPr>
          <w:trHeight w:val="203" w:hRule="atLeast"/>
        </w:trPr>
        <w:tc>
          <w:tcPr>
            <w:tcW w:w="7920" w:type="dxa"/>
            <w:gridSpan w:val="3"/>
          </w:tcPr>
          <w:p>
            <w:pPr>
              <w:pStyle w:val="TableParagraph"/>
              <w:spacing w:line="184" w:lineRule="exact"/>
              <w:ind w:left="107"/>
              <w:rPr>
                <w:sz w:val="18"/>
              </w:rPr>
            </w:pPr>
            <w:r>
              <w:rPr>
                <w:sz w:val="18"/>
              </w:rPr>
              <w:t>Company Name (Printed)</w:t>
            </w:r>
          </w:p>
        </w:tc>
        <w:tc>
          <w:tcPr>
            <w:tcW w:w="1534" w:type="dxa"/>
          </w:tcPr>
          <w:p>
            <w:pPr>
              <w:pStyle w:val="TableParagraph"/>
              <w:spacing w:line="184" w:lineRule="exact"/>
              <w:ind w:left="106"/>
              <w:rPr>
                <w:sz w:val="18"/>
              </w:rPr>
            </w:pPr>
            <w:r>
              <w:rPr>
                <w:sz w:val="18"/>
              </w:rPr>
              <w:t>Suite #</w:t>
            </w:r>
          </w:p>
        </w:tc>
      </w:tr>
      <w:tr>
        <w:trPr>
          <w:trHeight w:val="647" w:hRule="atLeast"/>
        </w:trPr>
        <w:tc>
          <w:tcPr>
            <w:tcW w:w="7920" w:type="dxa"/>
            <w:gridSpan w:val="3"/>
          </w:tcPr>
          <w:p>
            <w:pPr>
              <w:pStyle w:val="TableParagraph"/>
              <w:rPr>
                <w:rFonts w:ascii="Times New Roman"/>
                <w:sz w:val="18"/>
              </w:rPr>
            </w:pPr>
          </w:p>
        </w:tc>
        <w:tc>
          <w:tcPr>
            <w:tcW w:w="1534" w:type="dxa"/>
          </w:tcPr>
          <w:p>
            <w:pPr>
              <w:pStyle w:val="TableParagraph"/>
              <w:rPr>
                <w:rFonts w:ascii="Times New Roman"/>
                <w:sz w:val="18"/>
              </w:rPr>
            </w:pPr>
          </w:p>
        </w:tc>
      </w:tr>
      <w:tr>
        <w:trPr>
          <w:trHeight w:val="700" w:hRule="atLeast"/>
        </w:trPr>
        <w:tc>
          <w:tcPr>
            <w:tcW w:w="7920" w:type="dxa"/>
            <w:gridSpan w:val="3"/>
          </w:tcPr>
          <w:p>
            <w:pPr>
              <w:pStyle w:val="TableParagraph"/>
              <w:spacing w:line="204" w:lineRule="exact"/>
              <w:ind w:left="107"/>
              <w:rPr>
                <w:sz w:val="18"/>
              </w:rPr>
            </w:pPr>
            <w:r>
              <w:rPr>
                <w:sz w:val="18"/>
              </w:rPr>
              <w:t>Customer Name (Printed)</w:t>
            </w:r>
          </w:p>
        </w:tc>
        <w:tc>
          <w:tcPr>
            <w:tcW w:w="1534" w:type="dxa"/>
          </w:tcPr>
          <w:p>
            <w:pPr>
              <w:pStyle w:val="TableParagraph"/>
              <w:spacing w:line="204" w:lineRule="exact"/>
              <w:ind w:left="106"/>
              <w:rPr>
                <w:sz w:val="18"/>
              </w:rPr>
            </w:pPr>
            <w:r>
              <w:rPr>
                <w:sz w:val="18"/>
              </w:rPr>
              <w:t>Phone #</w:t>
            </w:r>
          </w:p>
        </w:tc>
      </w:tr>
      <w:tr>
        <w:trPr>
          <w:trHeight w:val="597" w:hRule="atLeast"/>
        </w:trPr>
        <w:tc>
          <w:tcPr>
            <w:tcW w:w="7920" w:type="dxa"/>
            <w:gridSpan w:val="3"/>
          </w:tcPr>
          <w:p>
            <w:pPr>
              <w:pStyle w:val="TableParagraph"/>
              <w:spacing w:line="204" w:lineRule="exact"/>
              <w:ind w:left="107"/>
              <w:rPr>
                <w:sz w:val="18"/>
              </w:rPr>
            </w:pPr>
            <w:r>
              <w:rPr>
                <w:sz w:val="18"/>
              </w:rPr>
              <w:t>Email Address</w:t>
            </w:r>
          </w:p>
        </w:tc>
        <w:tc>
          <w:tcPr>
            <w:tcW w:w="1534" w:type="dxa"/>
          </w:tcPr>
          <w:p>
            <w:pPr>
              <w:pStyle w:val="TableParagraph"/>
              <w:rPr>
                <w:rFonts w:ascii="Times New Roman"/>
                <w:sz w:val="18"/>
              </w:rPr>
            </w:pPr>
          </w:p>
        </w:tc>
      </w:tr>
      <w:tr>
        <w:trPr>
          <w:trHeight w:val="203" w:hRule="atLeast"/>
        </w:trPr>
        <w:tc>
          <w:tcPr>
            <w:tcW w:w="3608" w:type="dxa"/>
          </w:tcPr>
          <w:p>
            <w:pPr>
              <w:pStyle w:val="TableParagraph"/>
              <w:spacing w:line="184" w:lineRule="exact"/>
              <w:ind w:left="107"/>
              <w:rPr>
                <w:sz w:val="18"/>
              </w:rPr>
            </w:pPr>
            <w:r>
              <w:rPr>
                <w:sz w:val="18"/>
              </w:rPr>
              <w:t>Primary Car (Make)</w:t>
            </w:r>
          </w:p>
        </w:tc>
        <w:tc>
          <w:tcPr>
            <w:tcW w:w="1695" w:type="dxa"/>
          </w:tcPr>
          <w:p>
            <w:pPr>
              <w:pStyle w:val="TableParagraph"/>
              <w:spacing w:line="184" w:lineRule="exact"/>
              <w:ind w:left="107"/>
              <w:rPr>
                <w:sz w:val="18"/>
              </w:rPr>
            </w:pPr>
            <w:r>
              <w:rPr>
                <w:sz w:val="18"/>
              </w:rPr>
              <w:t>Year</w:t>
            </w:r>
          </w:p>
        </w:tc>
        <w:tc>
          <w:tcPr>
            <w:tcW w:w="2617" w:type="dxa"/>
          </w:tcPr>
          <w:p>
            <w:pPr>
              <w:pStyle w:val="TableParagraph"/>
              <w:spacing w:line="184" w:lineRule="exact"/>
              <w:ind w:left="107"/>
              <w:rPr>
                <w:sz w:val="18"/>
              </w:rPr>
            </w:pPr>
            <w:r>
              <w:rPr>
                <w:sz w:val="18"/>
              </w:rPr>
              <w:t>Model &amp; Color</w:t>
            </w:r>
          </w:p>
        </w:tc>
        <w:tc>
          <w:tcPr>
            <w:tcW w:w="1534" w:type="dxa"/>
          </w:tcPr>
          <w:p>
            <w:pPr>
              <w:pStyle w:val="TableParagraph"/>
              <w:spacing w:line="184" w:lineRule="exact"/>
              <w:ind w:left="106"/>
              <w:rPr>
                <w:sz w:val="18"/>
              </w:rPr>
            </w:pPr>
            <w:r>
              <w:rPr>
                <w:sz w:val="18"/>
              </w:rPr>
              <w:t>License #</w:t>
            </w:r>
          </w:p>
        </w:tc>
      </w:tr>
      <w:tr>
        <w:trPr>
          <w:trHeight w:val="621" w:hRule="atLeast"/>
        </w:trPr>
        <w:tc>
          <w:tcPr>
            <w:tcW w:w="3608" w:type="dxa"/>
          </w:tcPr>
          <w:p>
            <w:pPr>
              <w:pStyle w:val="TableParagraph"/>
              <w:rPr>
                <w:rFonts w:ascii="Times New Roman"/>
                <w:sz w:val="18"/>
              </w:rPr>
            </w:pPr>
          </w:p>
        </w:tc>
        <w:tc>
          <w:tcPr>
            <w:tcW w:w="1695" w:type="dxa"/>
          </w:tcPr>
          <w:p>
            <w:pPr>
              <w:pStyle w:val="TableParagraph"/>
              <w:rPr>
                <w:rFonts w:ascii="Times New Roman"/>
                <w:sz w:val="18"/>
              </w:rPr>
            </w:pPr>
          </w:p>
        </w:tc>
        <w:tc>
          <w:tcPr>
            <w:tcW w:w="2617" w:type="dxa"/>
          </w:tcPr>
          <w:p>
            <w:pPr>
              <w:pStyle w:val="TableParagraph"/>
              <w:rPr>
                <w:rFonts w:ascii="Times New Roman"/>
                <w:sz w:val="18"/>
              </w:rPr>
            </w:pPr>
          </w:p>
        </w:tc>
        <w:tc>
          <w:tcPr>
            <w:tcW w:w="1534" w:type="dxa"/>
          </w:tcPr>
          <w:p>
            <w:pPr>
              <w:pStyle w:val="TableParagraph"/>
              <w:rPr>
                <w:rFonts w:ascii="Times New Roman"/>
                <w:sz w:val="18"/>
              </w:rPr>
            </w:pPr>
          </w:p>
        </w:tc>
      </w:tr>
      <w:tr>
        <w:trPr>
          <w:trHeight w:val="203" w:hRule="atLeast"/>
        </w:trPr>
        <w:tc>
          <w:tcPr>
            <w:tcW w:w="3608" w:type="dxa"/>
          </w:tcPr>
          <w:p>
            <w:pPr>
              <w:pStyle w:val="TableParagraph"/>
              <w:spacing w:line="184" w:lineRule="exact"/>
              <w:ind w:left="107"/>
              <w:rPr>
                <w:sz w:val="18"/>
              </w:rPr>
            </w:pPr>
            <w:r>
              <w:rPr>
                <w:sz w:val="18"/>
              </w:rPr>
              <w:t>Alternate Car (Make)</w:t>
            </w:r>
          </w:p>
        </w:tc>
        <w:tc>
          <w:tcPr>
            <w:tcW w:w="1695" w:type="dxa"/>
          </w:tcPr>
          <w:p>
            <w:pPr>
              <w:pStyle w:val="TableParagraph"/>
              <w:spacing w:line="184" w:lineRule="exact"/>
              <w:ind w:left="107"/>
              <w:rPr>
                <w:sz w:val="18"/>
              </w:rPr>
            </w:pPr>
            <w:r>
              <w:rPr>
                <w:sz w:val="18"/>
              </w:rPr>
              <w:t>Year</w:t>
            </w:r>
          </w:p>
        </w:tc>
        <w:tc>
          <w:tcPr>
            <w:tcW w:w="2617" w:type="dxa"/>
          </w:tcPr>
          <w:p>
            <w:pPr>
              <w:pStyle w:val="TableParagraph"/>
              <w:spacing w:line="184" w:lineRule="exact"/>
              <w:ind w:left="107"/>
              <w:rPr>
                <w:sz w:val="18"/>
              </w:rPr>
            </w:pPr>
            <w:r>
              <w:rPr>
                <w:sz w:val="18"/>
              </w:rPr>
              <w:t>Model &amp; Color</w:t>
            </w:r>
          </w:p>
        </w:tc>
        <w:tc>
          <w:tcPr>
            <w:tcW w:w="1534" w:type="dxa"/>
          </w:tcPr>
          <w:p>
            <w:pPr>
              <w:pStyle w:val="TableParagraph"/>
              <w:spacing w:line="184" w:lineRule="exact"/>
              <w:ind w:left="106"/>
              <w:rPr>
                <w:sz w:val="18"/>
              </w:rPr>
            </w:pPr>
            <w:r>
              <w:rPr>
                <w:sz w:val="18"/>
              </w:rPr>
              <w:t>License #</w:t>
            </w:r>
          </w:p>
        </w:tc>
      </w:tr>
      <w:tr>
        <w:trPr>
          <w:trHeight w:val="621" w:hRule="atLeast"/>
        </w:trPr>
        <w:tc>
          <w:tcPr>
            <w:tcW w:w="3608" w:type="dxa"/>
          </w:tcPr>
          <w:p>
            <w:pPr>
              <w:pStyle w:val="TableParagraph"/>
              <w:rPr>
                <w:rFonts w:ascii="Times New Roman"/>
                <w:sz w:val="18"/>
              </w:rPr>
            </w:pPr>
          </w:p>
        </w:tc>
        <w:tc>
          <w:tcPr>
            <w:tcW w:w="1695" w:type="dxa"/>
          </w:tcPr>
          <w:p>
            <w:pPr>
              <w:pStyle w:val="TableParagraph"/>
              <w:rPr>
                <w:rFonts w:ascii="Times New Roman"/>
                <w:sz w:val="18"/>
              </w:rPr>
            </w:pPr>
          </w:p>
        </w:tc>
        <w:tc>
          <w:tcPr>
            <w:tcW w:w="2617" w:type="dxa"/>
          </w:tcPr>
          <w:p>
            <w:pPr>
              <w:pStyle w:val="TableParagraph"/>
              <w:rPr>
                <w:rFonts w:ascii="Times New Roman"/>
                <w:sz w:val="18"/>
              </w:rPr>
            </w:pPr>
          </w:p>
        </w:tc>
        <w:tc>
          <w:tcPr>
            <w:tcW w:w="1534" w:type="dxa"/>
          </w:tcPr>
          <w:p>
            <w:pPr>
              <w:pStyle w:val="TableParagraph"/>
              <w:rPr>
                <w:rFonts w:ascii="Times New Roman"/>
                <w:sz w:val="18"/>
              </w:rPr>
            </w:pPr>
          </w:p>
        </w:tc>
      </w:tr>
    </w:tbl>
    <w:p>
      <w:pPr>
        <w:pStyle w:val="BodyText"/>
        <w:spacing w:before="4"/>
        <w:rPr>
          <w:b/>
          <w:sz w:val="16"/>
        </w:rPr>
      </w:pPr>
    </w:p>
    <w:p>
      <w:pPr>
        <w:spacing w:before="0"/>
        <w:ind w:left="180" w:right="0" w:firstLine="0"/>
        <w:jc w:val="both"/>
        <w:rPr>
          <w:b/>
          <w:sz w:val="18"/>
        </w:rPr>
      </w:pPr>
      <w:r>
        <w:rPr>
          <w:b/>
          <w:sz w:val="18"/>
        </w:rPr>
        <w:t>I AGREE TO ACCEPT MONTHLY PARKING PRIVILEGES BASED UPON THE ABOVE CONDITIONS.</w:t>
      </w:r>
    </w:p>
    <w:p>
      <w:pPr>
        <w:pStyle w:val="BodyText"/>
        <w:spacing w:before="7"/>
        <w:rPr>
          <w:b/>
          <w:sz w:val="19"/>
        </w:rPr>
      </w:pPr>
    </w:p>
    <w:p>
      <w:pPr>
        <w:spacing w:before="0"/>
        <w:ind w:left="180" w:right="0" w:firstLine="0"/>
        <w:jc w:val="both"/>
        <w:rPr>
          <w:b/>
          <w:sz w:val="18"/>
        </w:rPr>
      </w:pPr>
      <w:r>
        <w:rPr>
          <w:b/>
          <w:sz w:val="18"/>
        </w:rPr>
        <w:t>Customer Name: (Please Print)</w:t>
      </w:r>
    </w:p>
    <w:p>
      <w:pPr>
        <w:pStyle w:val="BodyText"/>
        <w:spacing w:before="6"/>
        <w:rPr>
          <w:b/>
          <w:sz w:val="19"/>
        </w:rPr>
      </w:pPr>
    </w:p>
    <w:p>
      <w:pPr>
        <w:tabs>
          <w:tab w:pos="6436" w:val="left" w:leader="none"/>
          <w:tab w:pos="8440" w:val="left" w:leader="none"/>
        </w:tabs>
        <w:spacing w:before="1"/>
        <w:ind w:left="180" w:right="0" w:firstLine="0"/>
        <w:jc w:val="both"/>
        <w:rPr>
          <w:b/>
          <w:sz w:val="18"/>
        </w:rPr>
      </w:pPr>
      <w:r>
        <w:rPr>
          <w:b/>
          <w:sz w:val="18"/>
        </w:rPr>
        <w:t>Customer Signature</w:t>
      </w:r>
      <w:r>
        <w:rPr>
          <w:b/>
          <w:sz w:val="18"/>
          <w:u w:val="single"/>
        </w:rPr>
        <w:t> </w:t>
        <w:tab/>
      </w:r>
      <w:r>
        <w:rPr>
          <w:b/>
          <w:sz w:val="18"/>
        </w:rPr>
        <w:t>Date</w:t>
      </w:r>
      <w:r>
        <w:rPr>
          <w:b/>
          <w:spacing w:val="0"/>
          <w:sz w:val="18"/>
        </w:rPr>
        <w:t> </w:t>
      </w:r>
      <w:r>
        <w:rPr>
          <w:b/>
          <w:sz w:val="18"/>
          <w:u w:val="single"/>
        </w:rPr>
        <w:t> </w:t>
        <w:tab/>
      </w:r>
    </w:p>
    <w:p>
      <w:pPr>
        <w:pStyle w:val="BodyText"/>
        <w:spacing w:before="4"/>
        <w:rPr>
          <w:b/>
          <w:sz w:val="11"/>
        </w:rPr>
      </w:pPr>
    </w:p>
    <w:p>
      <w:pPr>
        <w:tabs>
          <w:tab w:pos="2340" w:val="left" w:leader="none"/>
          <w:tab w:pos="3700" w:val="left" w:leader="none"/>
          <w:tab w:pos="5347" w:val="left" w:leader="none"/>
          <w:tab w:pos="6434" w:val="left" w:leader="none"/>
          <w:tab w:pos="7683" w:val="left" w:leader="none"/>
        </w:tabs>
        <w:spacing w:before="94"/>
        <w:ind w:left="180" w:right="0" w:firstLine="0"/>
        <w:jc w:val="left"/>
        <w:rPr>
          <w:b/>
          <w:sz w:val="18"/>
        </w:rPr>
      </w:pPr>
      <w:r>
        <w:rPr>
          <w:b/>
          <w:sz w:val="18"/>
        </w:rPr>
        <w:t>Parking</w:t>
      </w:r>
      <w:r>
        <w:rPr>
          <w:b/>
          <w:spacing w:val="-1"/>
          <w:sz w:val="18"/>
        </w:rPr>
        <w:t> </w:t>
      </w:r>
      <w:r>
        <w:rPr>
          <w:b/>
          <w:sz w:val="18"/>
        </w:rPr>
        <w:t>Preference:</w:t>
        <w:tab/>
        <w:t>Reserved</w:t>
      </w:r>
      <w:r>
        <w:rPr>
          <w:b/>
          <w:sz w:val="18"/>
          <w:u w:val="single"/>
        </w:rPr>
        <w:tab/>
      </w:r>
      <w:r>
        <w:rPr>
          <w:b/>
          <w:sz w:val="18"/>
        </w:rPr>
        <w:t>Unreserved</w:t>
      </w:r>
      <w:r>
        <w:rPr>
          <w:b/>
          <w:sz w:val="18"/>
          <w:u w:val="single"/>
        </w:rPr>
        <w:tab/>
      </w:r>
      <w:r>
        <w:rPr>
          <w:b/>
          <w:sz w:val="18"/>
        </w:rPr>
        <w:t>Valet</w:t>
      </w:r>
      <w:r>
        <w:rPr>
          <w:b/>
          <w:sz w:val="18"/>
          <w:u w:val="single"/>
        </w:rPr>
        <w:t> </w:t>
        <w:tab/>
      </w:r>
      <w:r>
        <w:rPr>
          <w:b/>
          <w:sz w:val="18"/>
        </w:rPr>
        <w:t>Tandem</w:t>
      </w:r>
      <w:r>
        <w:rPr>
          <w:b/>
          <w:sz w:val="18"/>
          <w:u w:val="single"/>
        </w:rPr>
        <w:t> </w:t>
        <w:tab/>
      </w:r>
    </w:p>
    <w:p>
      <w:pPr>
        <w:pStyle w:val="BodyText"/>
        <w:spacing w:before="6"/>
        <w:rPr>
          <w:b/>
          <w:sz w:val="17"/>
        </w:rPr>
      </w:pPr>
    </w:p>
    <w:p>
      <w:pPr>
        <w:tabs>
          <w:tab w:pos="8112" w:val="left" w:leader="none"/>
        </w:tabs>
        <w:spacing w:before="0"/>
        <w:ind w:left="180" w:right="0" w:firstLine="0"/>
        <w:jc w:val="left"/>
        <w:rPr>
          <w:b/>
          <w:sz w:val="20"/>
        </w:rPr>
      </w:pPr>
      <w:r>
        <w:rPr>
          <w:b/>
          <w:sz w:val="20"/>
        </w:rPr>
        <w:t>Tenant Authorization</w:t>
      </w:r>
      <w:r>
        <w:rPr>
          <w:b/>
          <w:spacing w:val="-19"/>
          <w:sz w:val="20"/>
        </w:rPr>
        <w:t> </w:t>
      </w:r>
      <w:r>
        <w:rPr>
          <w:b/>
          <w:sz w:val="20"/>
        </w:rPr>
        <w:t>Signature</w:t>
      </w:r>
      <w:r>
        <w:rPr>
          <w:b/>
          <w:spacing w:val="1"/>
          <w:sz w:val="20"/>
        </w:rPr>
        <w:t> </w:t>
      </w:r>
      <w:r>
        <w:rPr>
          <w:b/>
          <w:w w:val="99"/>
          <w:sz w:val="20"/>
          <w:u w:val="single"/>
        </w:rPr>
        <w:t> </w:t>
      </w:r>
      <w:r>
        <w:rPr>
          <w:b/>
          <w:sz w:val="20"/>
          <w:u w:val="single"/>
        </w:rPr>
        <w:tab/>
      </w:r>
    </w:p>
    <w:p>
      <w:pPr>
        <w:pStyle w:val="BodyText"/>
        <w:spacing w:before="3"/>
        <w:rPr>
          <w:b/>
          <w:sz w:val="16"/>
        </w:rPr>
      </w:pPr>
      <w:r>
        <w:rPr/>
        <w:pict>
          <v:group style="position:absolute;margin-left:70.103996pt;margin-top:11.598516pt;width:472.9pt;height:41.55pt;mso-position-horizontal-relative:page;mso-position-vertical-relative:paragraph;z-index:1120;mso-wrap-distance-left:0;mso-wrap-distance-right:0" coordorigin="1402,232" coordsize="9458,831">
            <v:rect style="position:absolute;left:1411;top:241;width:9439;height:284" filled="true" fillcolor="#e4e4e4" stroked="false">
              <v:fill type="solid"/>
            </v:rect>
            <v:line style="position:absolute" from="1412,237" to="10850,237" stroked="true" strokeweight=".47998pt" strokecolor="#000000">
              <v:stroke dashstyle="solid"/>
            </v:line>
            <v:rect style="position:absolute;left:1411;top:524;width:9439;height:255" filled="true" fillcolor="#e4e4e4" stroked="false">
              <v:fill type="solid"/>
            </v:rect>
            <v:rect style="position:absolute;left:1411;top:779;width:9439;height:274" filled="true" fillcolor="#e4e4e4" stroked="false">
              <v:fill type="solid"/>
            </v:rect>
            <v:rect style="position:absolute;left:1402;top:1052;width:10;height:10" filled="true" fillcolor="#000000" stroked="false">
              <v:fill type="solid"/>
            </v:rect>
            <v:rect style="position:absolute;left:1402;top:1052;width:10;height:10" filled="true" fillcolor="#000000" stroked="false">
              <v:fill type="solid"/>
            </v:rect>
            <v:line style="position:absolute" from="1412,1058" to="10850,1058" stroked="true" strokeweight=".47998pt" strokecolor="#000000">
              <v:stroke dashstyle="solid"/>
            </v:line>
            <v:rect style="position:absolute;left:10850;top:1052;width:10;height:10" filled="true" fillcolor="#000000" stroked="false">
              <v:fill type="solid"/>
            </v:rect>
            <v:rect style="position:absolute;left:10850;top:1052;width:10;height:10" filled="true" fillcolor="#000000" stroked="false">
              <v:fill type="solid"/>
            </v:rect>
            <v:line style="position:absolute" from="1407,232" to="1407,1053" stroked="true" strokeweight=".48pt" strokecolor="#000000">
              <v:stroke dashstyle="solid"/>
            </v:line>
            <v:line style="position:absolute" from="10855,232" to="10855,1053" stroked="true" strokeweight=".47998pt" strokecolor="#000000">
              <v:stroke dashstyle="solid"/>
            </v:line>
            <v:shape style="position:absolute;left:1440;top:531;width:1406;height:502" type="#_x0000_t202" filled="false" stroked="false">
              <v:textbox inset="0,0,0,0">
                <w:txbxContent>
                  <w:p>
                    <w:pPr>
                      <w:spacing w:line="242" w:lineRule="auto" w:before="0"/>
                      <w:ind w:left="0" w:right="4" w:firstLine="0"/>
                      <w:jc w:val="left"/>
                      <w:rPr>
                        <w:sz w:val="22"/>
                      </w:rPr>
                    </w:pPr>
                    <w:r>
                      <w:rPr>
                        <w:sz w:val="22"/>
                      </w:rPr>
                      <w:t>Card Number: Individual:</w:t>
                    </w:r>
                  </w:p>
                </w:txbxContent>
              </v:textbox>
              <w10:wrap type="none"/>
            </v:shape>
            <v:shape style="position:absolute;left:3600;top:274;width:3903;height:758" type="#_x0000_t202" filled="false" stroked="false">
              <v:textbox inset="0,0,0,0">
                <w:txbxContent>
                  <w:p>
                    <w:pPr>
                      <w:spacing w:line="247" w:lineRule="exact" w:before="0"/>
                      <w:ind w:left="1488" w:right="0" w:firstLine="0"/>
                      <w:jc w:val="left"/>
                      <w:rPr>
                        <w:b/>
                        <w:sz w:val="22"/>
                      </w:rPr>
                    </w:pPr>
                    <w:r>
                      <w:rPr>
                        <w:b/>
                        <w:sz w:val="22"/>
                      </w:rPr>
                      <w:t>For Office Use Only</w:t>
                    </w:r>
                  </w:p>
                  <w:p>
                    <w:pPr>
                      <w:tabs>
                        <w:tab w:pos="2880" w:val="left" w:leader="none"/>
                      </w:tabs>
                      <w:spacing w:before="4"/>
                      <w:ind w:left="0" w:right="18" w:firstLine="0"/>
                      <w:jc w:val="left"/>
                      <w:rPr>
                        <w:sz w:val="22"/>
                      </w:rPr>
                    </w:pPr>
                    <w:r>
                      <w:rPr>
                        <w:sz w:val="22"/>
                      </w:rPr>
                      <w:t>Activation</w:t>
                    </w:r>
                    <w:r>
                      <w:rPr>
                        <w:spacing w:val="-1"/>
                        <w:sz w:val="22"/>
                      </w:rPr>
                      <w:t> </w:t>
                    </w:r>
                    <w:r>
                      <w:rPr>
                        <w:sz w:val="22"/>
                      </w:rPr>
                      <w:t>Fee:</w:t>
                      <w:tab/>
                    </w:r>
                    <w:r>
                      <w:rPr>
                        <w:spacing w:val="-1"/>
                        <w:sz w:val="22"/>
                      </w:rPr>
                      <w:t>Company: </w:t>
                    </w:r>
                    <w:r>
                      <w:rPr>
                        <w:sz w:val="22"/>
                      </w:rPr>
                      <w:t>Effective Date:</w:t>
                    </w:r>
                  </w:p>
                </w:txbxContent>
              </v:textbox>
              <w10:wrap type="none"/>
            </v:shape>
            <w10:wrap type="topAndBottom"/>
          </v:group>
        </w:pict>
      </w:r>
    </w:p>
    <w:sectPr>
      <w:footerReference w:type="default" r:id="rId7"/>
      <w:pgSz w:w="12240" w:h="15840"/>
      <w:pgMar w:footer="675" w:header="0" w:top="1100" w:bottom="860" w:left="126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024002pt;margin-top:747.237854pt;width:133.1pt;height:9.75pt;mso-position-horizontal-relative:page;mso-position-vertical-relative:page;z-index:-6904" type="#_x0000_t202" filled="false" stroked="false">
          <v:textbox inset="0,0,0,0">
            <w:txbxContent>
              <w:p>
                <w:pPr>
                  <w:spacing w:before="13"/>
                  <w:ind w:left="20" w:right="0" w:firstLine="0"/>
                  <w:jc w:val="left"/>
                  <w:rPr>
                    <w:rFonts w:ascii="Times New Roman"/>
                    <w:sz w:val="14"/>
                  </w:rPr>
                </w:pPr>
                <w:r>
                  <w:rPr>
                    <w:rFonts w:ascii="Times New Roman"/>
                    <w:sz w:val="14"/>
                  </w:rPr>
                  <w:t>F:\DEI</w:t>
                </w:r>
                <w:r>
                  <w:rPr>
                    <w:rFonts w:ascii="Times New Roman"/>
                    <w:spacing w:val="-14"/>
                    <w:sz w:val="14"/>
                  </w:rPr>
                  <w:t> </w:t>
                </w:r>
                <w:r>
                  <w:rPr>
                    <w:rFonts w:ascii="Times New Roman"/>
                    <w:sz w:val="14"/>
                  </w:rPr>
                  <w:t>Corners\PM</w:t>
                </w:r>
                <w:r>
                  <w:rPr>
                    <w:rFonts w:ascii="Times New Roman"/>
                    <w:spacing w:val="-14"/>
                    <w:sz w:val="14"/>
                  </w:rPr>
                  <w:t> </w:t>
                </w:r>
                <w:r>
                  <w:rPr>
                    <w:rFonts w:ascii="Times New Roman"/>
                    <w:sz w:val="14"/>
                  </w:rPr>
                  <w:t>Corner\Parking</w:t>
                </w:r>
                <w:r>
                  <w:rPr>
                    <w:rFonts w:ascii="Times New Roman"/>
                    <w:spacing w:val="-16"/>
                    <w:sz w:val="14"/>
                  </w:rPr>
                  <w:t> </w:t>
                </w:r>
                <w:r>
                  <w:rPr>
                    <w:rFonts w:ascii="Times New Roman"/>
                    <w:sz w:val="14"/>
                  </w:rPr>
                  <w:t>Procedures</w:t>
                </w:r>
              </w:p>
            </w:txbxContent>
          </v:textbox>
          <w10:wrap type="none"/>
        </v:shape>
      </w:pict>
    </w:r>
    <w:r>
      <w:rPr/>
      <w:pict>
        <v:shape style="position:absolute;margin-left:305.070007pt;margin-top:747.237854pt;width:20.75pt;height:9.75pt;mso-position-horizontal-relative:page;mso-position-vertical-relative:page;z-index:-6880" type="#_x0000_t202" filled="false" stroked="false">
          <v:textbox inset="0,0,0,0">
            <w:txbxContent>
              <w:p>
                <w:pPr>
                  <w:spacing w:before="13"/>
                  <w:ind w:left="20" w:right="0" w:firstLine="0"/>
                  <w:jc w:val="left"/>
                  <w:rPr>
                    <w:rFonts w:ascii="Times New Roman"/>
                    <w:sz w:val="14"/>
                  </w:rPr>
                </w:pPr>
                <w:r>
                  <w:rPr>
                    <w:rFonts w:ascii="Times New Roman"/>
                    <w:sz w:val="14"/>
                  </w:rPr>
                  <w:t>Page 1</w:t>
                </w:r>
              </w:p>
            </w:txbxContent>
          </v:textbox>
          <w10:wrap type="none"/>
        </v:shape>
      </w:pict>
    </w:r>
    <w:r>
      <w:rPr/>
      <w:pict>
        <v:shape style="position:absolute;margin-left:456.660004pt;margin-top:747.237854pt;width:81.5pt;height:9.75pt;mso-position-horizontal-relative:page;mso-position-vertical-relative:page;z-index:-6856" type="#_x0000_t202" filled="false" stroked="false">
          <v:textbox inset="0,0,0,0">
            <w:txbxContent>
              <w:p>
                <w:pPr>
                  <w:tabs>
                    <w:tab w:pos="1609" w:val="left" w:leader="none"/>
                  </w:tabs>
                  <w:spacing w:before="13"/>
                  <w:ind w:left="20" w:right="0" w:firstLine="0"/>
                  <w:jc w:val="left"/>
                  <w:rPr>
                    <w:rFonts w:ascii="Times New Roman"/>
                    <w:sz w:val="14"/>
                  </w:rPr>
                </w:pPr>
                <w:r>
                  <w:rPr>
                    <w:rFonts w:ascii="Times New Roman"/>
                    <w:sz w:val="14"/>
                  </w:rPr>
                  <w:t>Initials</w:t>
                </w:r>
                <w:r>
                  <w:rPr>
                    <w:rFonts w:ascii="Times New Roman"/>
                    <w:w w:val="99"/>
                    <w:sz w:val="14"/>
                    <w:u w:val="single"/>
                  </w:rPr>
                  <w:t> </w:t>
                </w:r>
                <w:r>
                  <w:rPr>
                    <w:rFonts w:ascii="Times New Roman"/>
                    <w:sz w:val="14"/>
                    <w:u w:val="single"/>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24002pt;margin-top:747.237854pt;width:133.1pt;height:9.75pt;mso-position-horizontal-relative:page;mso-position-vertical-relative:page;z-index:-6832" type="#_x0000_t202" filled="false" stroked="false">
          <v:textbox inset="0,0,0,0">
            <w:txbxContent>
              <w:p>
                <w:pPr>
                  <w:spacing w:before="13"/>
                  <w:ind w:left="20" w:right="0" w:firstLine="0"/>
                  <w:jc w:val="left"/>
                  <w:rPr>
                    <w:rFonts w:ascii="Times New Roman"/>
                    <w:sz w:val="14"/>
                  </w:rPr>
                </w:pPr>
                <w:r>
                  <w:rPr>
                    <w:rFonts w:ascii="Times New Roman"/>
                    <w:sz w:val="14"/>
                  </w:rPr>
                  <w:t>F:\DEI</w:t>
                </w:r>
                <w:r>
                  <w:rPr>
                    <w:rFonts w:ascii="Times New Roman"/>
                    <w:spacing w:val="-14"/>
                    <w:sz w:val="14"/>
                  </w:rPr>
                  <w:t> </w:t>
                </w:r>
                <w:r>
                  <w:rPr>
                    <w:rFonts w:ascii="Times New Roman"/>
                    <w:sz w:val="14"/>
                  </w:rPr>
                  <w:t>Corners\PM</w:t>
                </w:r>
                <w:r>
                  <w:rPr>
                    <w:rFonts w:ascii="Times New Roman"/>
                    <w:spacing w:val="-14"/>
                    <w:sz w:val="14"/>
                  </w:rPr>
                  <w:t> </w:t>
                </w:r>
                <w:r>
                  <w:rPr>
                    <w:rFonts w:ascii="Times New Roman"/>
                    <w:sz w:val="14"/>
                  </w:rPr>
                  <w:t>Corner\Parking</w:t>
                </w:r>
                <w:r>
                  <w:rPr>
                    <w:rFonts w:ascii="Times New Roman"/>
                    <w:spacing w:val="-16"/>
                    <w:sz w:val="14"/>
                  </w:rPr>
                  <w:t> </w:t>
                </w:r>
                <w:r>
                  <w:rPr>
                    <w:rFonts w:ascii="Times New Roman"/>
                    <w:sz w:val="14"/>
                  </w:rPr>
                  <w:t>Procedures</w:t>
                </w:r>
              </w:p>
            </w:txbxContent>
          </v:textbox>
          <w10:wrap type="none"/>
        </v:shape>
      </w:pict>
    </w:r>
    <w:r>
      <w:rPr/>
      <w:pict>
        <v:shape style="position:absolute;margin-left:305.070007pt;margin-top:747.237854pt;width:20.75pt;height:9.75pt;mso-position-horizontal-relative:page;mso-position-vertical-relative:page;z-index:-6808" type="#_x0000_t202" filled="false" stroked="false">
          <v:textbox inset="0,0,0,0">
            <w:txbxContent>
              <w:p>
                <w:pPr>
                  <w:spacing w:before="13"/>
                  <w:ind w:left="20" w:right="0" w:firstLine="0"/>
                  <w:jc w:val="left"/>
                  <w:rPr>
                    <w:rFonts w:ascii="Times New Roman"/>
                    <w:sz w:val="14"/>
                  </w:rPr>
                </w:pPr>
                <w:r>
                  <w:rPr>
                    <w:rFonts w:ascii="Times New Roman"/>
                    <w:sz w:val="14"/>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900" w:hanging="360"/>
        <w:jc w:val="left"/>
      </w:pPr>
      <w:rPr>
        <w:rFonts w:hint="default" w:ascii="Arial" w:hAnsi="Arial" w:eastAsia="Arial" w:cs="Arial"/>
        <w:spacing w:val="-4"/>
        <w:w w:val="99"/>
        <w:sz w:val="18"/>
        <w:szCs w:val="18"/>
      </w:rPr>
    </w:lvl>
    <w:lvl w:ilvl="1">
      <w:start w:val="0"/>
      <w:numFmt w:val="bullet"/>
      <w:lvlText w:val="•"/>
      <w:lvlJc w:val="left"/>
      <w:pPr>
        <w:ind w:left="1786" w:hanging="360"/>
      </w:pPr>
      <w:rPr>
        <w:rFonts w:hint="default"/>
      </w:rPr>
    </w:lvl>
    <w:lvl w:ilvl="2">
      <w:start w:val="0"/>
      <w:numFmt w:val="bullet"/>
      <w:lvlText w:val="•"/>
      <w:lvlJc w:val="left"/>
      <w:pPr>
        <w:ind w:left="2672" w:hanging="360"/>
      </w:pPr>
      <w:rPr>
        <w:rFonts w:hint="default"/>
      </w:rPr>
    </w:lvl>
    <w:lvl w:ilvl="3">
      <w:start w:val="0"/>
      <w:numFmt w:val="bullet"/>
      <w:lvlText w:val="•"/>
      <w:lvlJc w:val="left"/>
      <w:pPr>
        <w:ind w:left="355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02" w:hanging="360"/>
      </w:pPr>
      <w:rPr>
        <w:rFonts w:hint="default"/>
      </w:rPr>
    </w:lvl>
    <w:lvl w:ilvl="8">
      <w:start w:val="0"/>
      <w:numFmt w:val="bullet"/>
      <w:lvlText w:val="•"/>
      <w:lvlJc w:val="left"/>
      <w:pPr>
        <w:ind w:left="7988" w:hanging="360"/>
      </w:pPr>
      <w:rPr>
        <w:rFonts w:hint="default"/>
      </w:rPr>
    </w:lvl>
  </w:abstractNum>
  <w:abstractNum w:abstractNumId="2">
    <w:multiLevelType w:val="hybridMultilevel"/>
    <w:lvl w:ilvl="0">
      <w:start w:val="1"/>
      <w:numFmt w:val="decimal"/>
      <w:lvlText w:val="%1."/>
      <w:lvlJc w:val="left"/>
      <w:pPr>
        <w:ind w:left="900" w:hanging="360"/>
        <w:jc w:val="left"/>
      </w:pPr>
      <w:rPr>
        <w:rFonts w:hint="default" w:ascii="Arial" w:hAnsi="Arial" w:eastAsia="Arial" w:cs="Arial"/>
        <w:spacing w:val="-18"/>
        <w:w w:val="99"/>
        <w:sz w:val="18"/>
        <w:szCs w:val="18"/>
      </w:rPr>
    </w:lvl>
    <w:lvl w:ilvl="1">
      <w:start w:val="0"/>
      <w:numFmt w:val="bullet"/>
      <w:lvlText w:val="•"/>
      <w:lvlJc w:val="left"/>
      <w:pPr>
        <w:ind w:left="1786" w:hanging="360"/>
      </w:pPr>
      <w:rPr>
        <w:rFonts w:hint="default"/>
      </w:rPr>
    </w:lvl>
    <w:lvl w:ilvl="2">
      <w:start w:val="0"/>
      <w:numFmt w:val="bullet"/>
      <w:lvlText w:val="•"/>
      <w:lvlJc w:val="left"/>
      <w:pPr>
        <w:ind w:left="2672" w:hanging="360"/>
      </w:pPr>
      <w:rPr>
        <w:rFonts w:hint="default"/>
      </w:rPr>
    </w:lvl>
    <w:lvl w:ilvl="3">
      <w:start w:val="0"/>
      <w:numFmt w:val="bullet"/>
      <w:lvlText w:val="•"/>
      <w:lvlJc w:val="left"/>
      <w:pPr>
        <w:ind w:left="355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02" w:hanging="360"/>
      </w:pPr>
      <w:rPr>
        <w:rFonts w:hint="default"/>
      </w:rPr>
    </w:lvl>
    <w:lvl w:ilvl="8">
      <w:start w:val="0"/>
      <w:numFmt w:val="bullet"/>
      <w:lvlText w:val="•"/>
      <w:lvlJc w:val="left"/>
      <w:pPr>
        <w:ind w:left="7988" w:hanging="360"/>
      </w:pPr>
      <w:rPr>
        <w:rFonts w:hint="default"/>
      </w:rPr>
    </w:lvl>
  </w:abstractNum>
  <w:abstractNum w:abstractNumId="1">
    <w:multiLevelType w:val="hybridMultilevel"/>
    <w:lvl w:ilvl="0">
      <w:start w:val="1"/>
      <w:numFmt w:val="decimal"/>
      <w:lvlText w:val="%1."/>
      <w:lvlJc w:val="left"/>
      <w:pPr>
        <w:ind w:left="900" w:hanging="360"/>
        <w:jc w:val="left"/>
      </w:pPr>
      <w:rPr>
        <w:rFonts w:hint="default" w:ascii="Arial" w:hAnsi="Arial" w:eastAsia="Arial" w:cs="Arial"/>
        <w:spacing w:val="-23"/>
        <w:w w:val="99"/>
        <w:sz w:val="18"/>
        <w:szCs w:val="18"/>
      </w:rPr>
    </w:lvl>
    <w:lvl w:ilvl="1">
      <w:start w:val="0"/>
      <w:numFmt w:val="bullet"/>
      <w:lvlText w:val="•"/>
      <w:lvlJc w:val="left"/>
      <w:pPr>
        <w:ind w:left="1786" w:hanging="360"/>
      </w:pPr>
      <w:rPr>
        <w:rFonts w:hint="default"/>
      </w:rPr>
    </w:lvl>
    <w:lvl w:ilvl="2">
      <w:start w:val="0"/>
      <w:numFmt w:val="bullet"/>
      <w:lvlText w:val="•"/>
      <w:lvlJc w:val="left"/>
      <w:pPr>
        <w:ind w:left="2672" w:hanging="360"/>
      </w:pPr>
      <w:rPr>
        <w:rFonts w:hint="default"/>
      </w:rPr>
    </w:lvl>
    <w:lvl w:ilvl="3">
      <w:start w:val="0"/>
      <w:numFmt w:val="bullet"/>
      <w:lvlText w:val="•"/>
      <w:lvlJc w:val="left"/>
      <w:pPr>
        <w:ind w:left="355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02" w:hanging="360"/>
      </w:pPr>
      <w:rPr>
        <w:rFonts w:hint="default"/>
      </w:rPr>
    </w:lvl>
    <w:lvl w:ilvl="8">
      <w:start w:val="0"/>
      <w:numFmt w:val="bullet"/>
      <w:lvlText w:val="•"/>
      <w:lvlJc w:val="left"/>
      <w:pPr>
        <w:ind w:left="7988" w:hanging="360"/>
      </w:pPr>
      <w:rPr>
        <w:rFonts w:hint="default"/>
      </w:rPr>
    </w:lvl>
  </w:abstractNum>
  <w:abstractNum w:abstractNumId="0">
    <w:multiLevelType w:val="hybridMultilevel"/>
    <w:lvl w:ilvl="0">
      <w:start w:val="1"/>
      <w:numFmt w:val="decimal"/>
      <w:lvlText w:val="%1."/>
      <w:lvlJc w:val="left"/>
      <w:pPr>
        <w:ind w:left="900" w:hanging="360"/>
        <w:jc w:val="left"/>
      </w:pPr>
      <w:rPr>
        <w:rFonts w:hint="default" w:ascii="Arial" w:hAnsi="Arial" w:eastAsia="Arial" w:cs="Arial"/>
        <w:spacing w:val="-3"/>
        <w:w w:val="99"/>
        <w:sz w:val="18"/>
        <w:szCs w:val="18"/>
      </w:rPr>
    </w:lvl>
    <w:lvl w:ilvl="1">
      <w:start w:val="0"/>
      <w:numFmt w:val="bullet"/>
      <w:lvlText w:val="•"/>
      <w:lvlJc w:val="left"/>
      <w:pPr>
        <w:ind w:left="1786" w:hanging="360"/>
      </w:pPr>
      <w:rPr>
        <w:rFonts w:hint="default"/>
      </w:rPr>
    </w:lvl>
    <w:lvl w:ilvl="2">
      <w:start w:val="0"/>
      <w:numFmt w:val="bullet"/>
      <w:lvlText w:val="•"/>
      <w:lvlJc w:val="left"/>
      <w:pPr>
        <w:ind w:left="2672" w:hanging="360"/>
      </w:pPr>
      <w:rPr>
        <w:rFonts w:hint="default"/>
      </w:rPr>
    </w:lvl>
    <w:lvl w:ilvl="3">
      <w:start w:val="0"/>
      <w:numFmt w:val="bullet"/>
      <w:lvlText w:val="•"/>
      <w:lvlJc w:val="left"/>
      <w:pPr>
        <w:ind w:left="3558" w:hanging="360"/>
      </w:pPr>
      <w:rPr>
        <w:rFonts w:hint="default"/>
      </w:rPr>
    </w:lvl>
    <w:lvl w:ilvl="4">
      <w:start w:val="0"/>
      <w:numFmt w:val="bullet"/>
      <w:lvlText w:val="•"/>
      <w:lvlJc w:val="left"/>
      <w:pPr>
        <w:ind w:left="4444" w:hanging="360"/>
      </w:pPr>
      <w:rPr>
        <w:rFonts w:hint="default"/>
      </w:rPr>
    </w:lvl>
    <w:lvl w:ilvl="5">
      <w:start w:val="0"/>
      <w:numFmt w:val="bullet"/>
      <w:lvlText w:val="•"/>
      <w:lvlJc w:val="left"/>
      <w:pPr>
        <w:ind w:left="5330" w:hanging="360"/>
      </w:pPr>
      <w:rPr>
        <w:rFonts w:hint="default"/>
      </w:rPr>
    </w:lvl>
    <w:lvl w:ilvl="6">
      <w:start w:val="0"/>
      <w:numFmt w:val="bullet"/>
      <w:lvlText w:val="•"/>
      <w:lvlJc w:val="left"/>
      <w:pPr>
        <w:ind w:left="6216" w:hanging="360"/>
      </w:pPr>
      <w:rPr>
        <w:rFonts w:hint="default"/>
      </w:rPr>
    </w:lvl>
    <w:lvl w:ilvl="7">
      <w:start w:val="0"/>
      <w:numFmt w:val="bullet"/>
      <w:lvlText w:val="•"/>
      <w:lvlJc w:val="left"/>
      <w:pPr>
        <w:ind w:left="7102" w:hanging="360"/>
      </w:pPr>
      <w:rPr>
        <w:rFonts w:hint="default"/>
      </w:rPr>
    </w:lvl>
    <w:lvl w:ilvl="8">
      <w:start w:val="0"/>
      <w:numFmt w:val="bullet"/>
      <w:lvlText w:val="•"/>
      <w:lvlJc w:val="left"/>
      <w:pPr>
        <w:ind w:left="7988"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ind w:left="180"/>
      <w:outlineLvl w:val="1"/>
    </w:pPr>
    <w:rPr>
      <w:rFonts w:ascii="Arial" w:hAnsi="Arial" w:eastAsia="Arial" w:cs="Arial"/>
      <w:b/>
      <w:bCs/>
      <w:sz w:val="18"/>
      <w:szCs w:val="18"/>
    </w:rPr>
  </w:style>
  <w:style w:styleId="ListParagraph" w:type="paragraph">
    <w:name w:val="List Paragraph"/>
    <w:basedOn w:val="Normal"/>
    <w:uiPriority w:val="1"/>
    <w:qFormat/>
    <w:pPr>
      <w:ind w:left="90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Department</dc:creator>
  <dc:title>MergedFile</dc:title>
  <dcterms:created xsi:type="dcterms:W3CDTF">2018-06-22T16:37:51Z</dcterms:created>
  <dcterms:modified xsi:type="dcterms:W3CDTF">2018-06-22T16:37:51Z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2018-03-21T00:00:00Z</vt:filetime>
  </property>
  <property fmtid="{D5CDD505-2E9C-101B-9397-08002B2CF9AE}" pid="3" name="Creator">
    <vt:lpwstr>Microsoft® Word 2010</vt:lpwstr>
  </property>
  <property fmtid="{D5CDD505-2E9C-101B-9397-08002B2CF9AE}" pid="4" name="LastSaved">
    <vt:filetime>2018-06-22T00:00:00Z</vt:filetime>
  </property>
</Properties>
</file>